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35" w:rsidRDefault="007C4468">
      <w:pPr>
        <w:jc w:val="center"/>
        <w:rPr>
          <w:rFonts w:ascii="方正小标宋简体" w:eastAsia="方正小标宋简体" w:hAnsi="华文中宋"/>
          <w:color w:val="FF0000"/>
          <w:spacing w:val="40"/>
          <w:w w:val="60"/>
          <w:sz w:val="140"/>
          <w:szCs w:val="140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州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理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工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学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院</w:t>
      </w:r>
    </w:p>
    <w:p w:rsidR="00FD5135" w:rsidRDefault="007C4468">
      <w:pPr>
        <w:spacing w:line="600" w:lineRule="exact"/>
        <w:contextualSpacing/>
        <w:jc w:val="center"/>
        <w:rPr>
          <w:rFonts w:ascii="仿宋_GB2312" w:eastAsia="仿宋_GB2312" w:hAnsi="仿宋_GB2312" w:cstheme="minorBidi"/>
          <w:color w:val="000000"/>
          <w:sz w:val="32"/>
          <w:szCs w:val="32"/>
        </w:rPr>
      </w:pPr>
      <w:r>
        <w:rPr>
          <w:rFonts w:ascii="仿宋_GB2312" w:eastAsia="仿宋_GB2312" w:hAnsi="仿宋_GB2312" w:cstheme="minorBidi" w:hint="eastAsia"/>
          <w:color w:val="000000"/>
          <w:sz w:val="32"/>
          <w:szCs w:val="32"/>
        </w:rPr>
        <w:t>福理工教</w:t>
      </w:r>
      <w:r>
        <w:rPr>
          <w:rFonts w:ascii="仿宋_GB2312" w:eastAsia="仿宋_GB2312" w:hAnsi="仿宋_GB2312" w:cstheme="minorBidi" w:hint="eastAsia"/>
          <w:color w:val="000000"/>
          <w:sz w:val="32"/>
          <w:szCs w:val="32"/>
        </w:rPr>
        <w:t>〔</w:t>
      </w:r>
      <w:r>
        <w:rPr>
          <w:rFonts w:ascii="仿宋_GB2312" w:eastAsia="仿宋_GB2312" w:hAnsi="仿宋_GB2312" w:cstheme="minorBidi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_GB2312" w:cstheme="minorBidi" w:hint="eastAsia"/>
          <w:color w:val="000000"/>
          <w:sz w:val="32"/>
          <w:szCs w:val="32"/>
        </w:rPr>
        <w:t>26</w:t>
      </w:r>
      <w:r>
        <w:rPr>
          <w:rFonts w:ascii="仿宋_GB2312" w:eastAsia="仿宋_GB2312" w:hAnsi="仿宋_GB2312" w:cstheme="minorBidi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theme="minorBidi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theme="minorBidi"/>
          <w:color w:val="000000"/>
          <w:sz w:val="32"/>
          <w:szCs w:val="32"/>
        </w:rPr>
        <w:t>7</w:t>
      </w:r>
      <w:r>
        <w:rPr>
          <w:rFonts w:ascii="仿宋_GB2312" w:eastAsia="仿宋_GB2312" w:hAnsi="仿宋_GB2312" w:cstheme="minorBidi" w:hint="eastAsia"/>
          <w:color w:val="000000"/>
          <w:sz w:val="32"/>
          <w:szCs w:val="32"/>
        </w:rPr>
        <w:t>号</w:t>
      </w:r>
    </w:p>
    <w:p w:rsidR="00FD5135" w:rsidRDefault="007C4468">
      <w:pPr>
        <w:spacing w:line="240" w:lineRule="exact"/>
        <w:ind w:left="59" w:hangingChars="37" w:hanging="59"/>
        <w:rPr>
          <w:rFonts w:ascii="仿宋_GB2312" w:eastAsia="仿宋_GB2312" w:hAnsi="宋体"/>
          <w:b/>
          <w:sz w:val="32"/>
          <w:szCs w:val="32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</w:t>
      </w:r>
    </w:p>
    <w:p w:rsidR="00FD5135" w:rsidRDefault="00FD5135">
      <w:pPr>
        <w:spacing w:line="5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FD5135" w:rsidRDefault="007C4468">
      <w:pPr>
        <w:pStyle w:val="a6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lang w:bidi="ar"/>
        </w:rPr>
      </w:pPr>
      <w:r>
        <w:rPr>
          <w:rFonts w:ascii="方正小标宋简体" w:eastAsia="方正小标宋简体" w:hint="eastAsia"/>
          <w:sz w:val="44"/>
          <w:lang w:bidi="ar"/>
        </w:rPr>
        <w:t>关于</w:t>
      </w:r>
      <w:r>
        <w:rPr>
          <w:rFonts w:ascii="方正小标宋简体" w:eastAsia="方正小标宋简体" w:hint="eastAsia"/>
          <w:sz w:val="44"/>
          <w:lang w:bidi="ar"/>
        </w:rPr>
        <w:t>2025-2026</w:t>
      </w:r>
      <w:r>
        <w:rPr>
          <w:rFonts w:ascii="方正小标宋简体" w:eastAsia="方正小标宋简体" w:hint="eastAsia"/>
          <w:sz w:val="44"/>
          <w:lang w:bidi="ar"/>
        </w:rPr>
        <w:t>学年第二学期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lang w:bidi="ar"/>
        </w:rPr>
        <w:t>《大学英语》课程分方向选课的通知</w:t>
      </w:r>
    </w:p>
    <w:p w:rsidR="00FD5135" w:rsidRDefault="00FD5135">
      <w:pPr>
        <w:spacing w:line="54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7C4468">
      <w:pPr>
        <w:spacing w:line="4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各二级学院：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为进一步优化大学英语教学体系，满足不同学生的英语学习需求与能力发展目标，经教务处与经济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管理学院研究决定，从</w:t>
      </w:r>
      <w:r>
        <w:rPr>
          <w:rFonts w:ascii="仿宋_GB2312" w:eastAsia="仿宋_GB2312" w:hAnsi="仿宋_GB2312" w:cs="仿宋_GB2312" w:hint="eastAsia"/>
          <w:sz w:val="32"/>
          <w:szCs w:val="32"/>
        </w:rPr>
        <w:t>2025-2026</w:t>
      </w:r>
      <w:r>
        <w:rPr>
          <w:rFonts w:ascii="仿宋_GB2312" w:eastAsia="仿宋_GB2312" w:hAnsi="仿宋_GB2312" w:cs="仿宋_GB2312" w:hint="eastAsia"/>
          <w:sz w:val="32"/>
          <w:szCs w:val="32"/>
        </w:rPr>
        <w:t>学年第二学期开始《大学英语》课程将实行分方向教学改革，设置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口语方向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常规方向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。现将选课相关事宜通知如下：</w:t>
      </w:r>
    </w:p>
    <w:p w:rsidR="00FD5135" w:rsidRDefault="007C4468">
      <w:pPr>
        <w:numPr>
          <w:ilvl w:val="0"/>
          <w:numId w:val="1"/>
        </w:numPr>
        <w:spacing w:line="48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选课对象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全体普通本科一、二年级学生（含转专业、降级等需修读大学英语课程的学生）</w:t>
      </w:r>
    </w:p>
    <w:p w:rsidR="00FD5135" w:rsidRDefault="007C4468">
      <w:pPr>
        <w:numPr>
          <w:ilvl w:val="0"/>
          <w:numId w:val="1"/>
        </w:numPr>
        <w:spacing w:line="48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方向选择说明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（一）口语方向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聚焦口语实战能力提升，课程内容涵盖日常交际、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职场面试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、跨文化沟通等实用模块，通过角色扮演、情景模拟等形式，帮助大家告别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哑巴英语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，快速提升口语表达与沟通技巧。尤其适合不参加考研、计划毕业后直接就业的同学，扎实的口语能力将成为求职加分项，可拓宽就业</w:t>
      </w:r>
      <w:r>
        <w:rPr>
          <w:rFonts w:ascii="仿宋_GB2312" w:eastAsia="仿宋_GB2312" w:hAnsi="仿宋_GB2312" w:cs="仿宋_GB2312" w:hint="eastAsia"/>
          <w:sz w:val="32"/>
          <w:szCs w:val="32"/>
        </w:rPr>
        <w:t>渠道（如外贸、跨境电商、外企、行政办公等多领域均需口语应用能力），显著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增加职场竞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争力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（二）常规方向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侧重英语语言基础巩固与读写能力提升，对接考研英语、大学英语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四六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级等应试需求，同时强化学术读写基础，适合计划考研、希望重点提升读写能力的同学。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（三）选择口语方向的相关激励政策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证书与竞赛赋能：提供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BEC</w:t>
      </w:r>
      <w:r>
        <w:rPr>
          <w:rFonts w:ascii="仿宋_GB2312" w:eastAsia="仿宋_GB2312" w:hAnsi="仿宋_GB2312" w:cs="仿宋_GB2312" w:hint="eastAsia"/>
          <w:sz w:val="32"/>
          <w:szCs w:val="32"/>
        </w:rPr>
        <w:t>商务英语、考研英语等相关备考资料；优秀学员由大学英语课程组推荐参加“外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社·国才杯”全国大学生英语演讲、口语竞赛。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实习与求职支持：口语方向优秀学员纳入学校涉外企业实习人才库，优先推荐福州本地外贸、</w:t>
      </w:r>
      <w:r>
        <w:rPr>
          <w:rFonts w:ascii="仿宋_GB2312" w:eastAsia="仿宋_GB2312" w:hAnsi="仿宋_GB2312" w:cs="仿宋_GB2312" w:hint="eastAsia"/>
          <w:sz w:val="32"/>
          <w:szCs w:val="32"/>
        </w:rPr>
        <w:t>跨境电商、外资企业等优质实习岗位。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荣誉奖励：考核优秀的学员可推荐参评“校级口语学习之星”“职场英语实战标兵”等荣誉，颁发证书。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如果学生取得英语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四六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级口语考试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ABC</w:t>
      </w:r>
      <w:r>
        <w:rPr>
          <w:rFonts w:ascii="仿宋_GB2312" w:eastAsia="仿宋_GB2312" w:hAnsi="仿宋_GB2312" w:cs="仿宋_GB2312" w:hint="eastAsia"/>
          <w:sz w:val="32"/>
          <w:szCs w:val="32"/>
        </w:rPr>
        <w:t>三个档位的成绩，只要提供口语成绩单，期末考试予以加一定的平时分，以资奖励。</w:t>
      </w:r>
    </w:p>
    <w:p w:rsidR="00FD5135" w:rsidRDefault="007C4468">
      <w:pPr>
        <w:numPr>
          <w:ilvl w:val="0"/>
          <w:numId w:val="1"/>
        </w:numPr>
        <w:spacing w:line="48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选课时间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选课时间：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9:00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（星期六）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22:00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D5135" w:rsidRDefault="007C4468">
      <w:pPr>
        <w:numPr>
          <w:ilvl w:val="0"/>
          <w:numId w:val="1"/>
        </w:numPr>
        <w:spacing w:line="48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选课方式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选择口语方向的学生需采取网上选课方式，学生自行登入教务系统进行选课。链接地址：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http://oaa.fitedu.net/jwglxt/xtgl/login_slogin.html</w:t>
      </w:r>
      <w:r>
        <w:rPr>
          <w:rFonts w:ascii="仿宋_GB2312" w:eastAsia="仿宋_GB2312" w:hAnsi="仿宋_GB2312" w:cs="仿宋_GB2312" w:hint="eastAsia"/>
          <w:sz w:val="32"/>
          <w:szCs w:val="32"/>
        </w:rPr>
        <w:t>，选课过程中若出现学号出错、系统报错等特殊情况造成无法进行网上报名，学生应及时向各学院综合管理办公室反馈，各学院综合管理办公室与教务处教务科吴老师做好沟通和处理工作。</w:t>
      </w:r>
    </w:p>
    <w:p w:rsidR="00FD5135" w:rsidRDefault="007C4468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五、其他说明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（一）两个方向的课程学分、学时保持一致，均计入本科人才培养方案要求的大学英语必修学分，学生选择口语方向即可免修常规方向；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（二）教学内容、考核方式等详细规则，详见附件福州理工学院《大学英语》课程分方向教学实施方案；</w:t>
      </w:r>
    </w:p>
    <w:p w:rsidR="00FD5135" w:rsidRDefault="007C4468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（三）请各学院及时通知学生，确保按时完成选课，逾期不予补选。</w:t>
      </w:r>
    </w:p>
    <w:p w:rsidR="00FD5135" w:rsidRDefault="00FD5135">
      <w:pPr>
        <w:pStyle w:val="a6"/>
        <w:ind w:firstLine="210"/>
      </w:pPr>
    </w:p>
    <w:p w:rsidR="00FD5135" w:rsidRDefault="00FD5135"/>
    <w:p w:rsidR="00FD5135" w:rsidRDefault="007C4468">
      <w:pPr>
        <w:spacing w:line="560" w:lineRule="exact"/>
        <w:ind w:leftChars="304" w:left="1598" w:hangingChars="300" w:hanging="9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福州理工学院《大学英语》课程分方向教学实施方案</w:t>
      </w:r>
    </w:p>
    <w:p w:rsidR="00FD5135" w:rsidRDefault="007C4468">
      <w:pPr>
        <w:spacing w:line="560" w:lineRule="exact"/>
        <w:ind w:leftChars="760" w:left="1596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福州理工学院《大学英语》口语方向学生选课操作指南</w:t>
      </w:r>
    </w:p>
    <w:p w:rsidR="00FD5135" w:rsidRDefault="00FD5135">
      <w:pPr>
        <w:spacing w:line="56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FD5135">
      <w:pPr>
        <w:pStyle w:val="a6"/>
        <w:ind w:firstLine="210"/>
      </w:pPr>
    </w:p>
    <w:p w:rsidR="00FD5135" w:rsidRDefault="00FD5135"/>
    <w:p w:rsidR="00FD5135" w:rsidRDefault="00FD5135">
      <w:pPr>
        <w:pStyle w:val="a6"/>
        <w:ind w:firstLine="210"/>
      </w:pPr>
    </w:p>
    <w:p w:rsidR="00FD5135" w:rsidRDefault="007C4468">
      <w:pPr>
        <w:spacing w:line="560" w:lineRule="exact"/>
        <w:ind w:firstLineChars="1700" w:firstLine="54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福州理工学院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教务处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</w:t>
      </w:r>
    </w:p>
    <w:p w:rsidR="00FD5135" w:rsidRDefault="007C4468">
      <w:pPr>
        <w:spacing w:line="560" w:lineRule="exact"/>
        <w:ind w:firstLineChars="1800" w:firstLine="57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2026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日</w:t>
      </w:r>
    </w:p>
    <w:p w:rsidR="00FD5135" w:rsidRDefault="007C4468">
      <w:r>
        <w:br w:type="page"/>
      </w:r>
    </w:p>
    <w:p w:rsidR="00FD5135" w:rsidRDefault="007C4468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</w:t>
      </w:r>
    </w:p>
    <w:p w:rsidR="00FD5135" w:rsidRDefault="007C4468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0"/>
          <w:szCs w:val="40"/>
        </w:rPr>
      </w:pPr>
      <w:r>
        <w:rPr>
          <w:rFonts w:ascii="Times New Roman" w:eastAsia="方正小标宋简体" w:hAnsi="Times New Roman"/>
          <w:color w:val="000000" w:themeColor="text1"/>
          <w:sz w:val="40"/>
          <w:szCs w:val="40"/>
        </w:rPr>
        <w:t>福州理工学院《大学英语》课程分方向</w:t>
      </w:r>
    </w:p>
    <w:p w:rsidR="00FD5135" w:rsidRDefault="007C4468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0"/>
          <w:szCs w:val="40"/>
        </w:rPr>
      </w:pPr>
      <w:r>
        <w:rPr>
          <w:rFonts w:ascii="Times New Roman" w:eastAsia="方正小标宋简体" w:hAnsi="Times New Roman"/>
          <w:color w:val="000000" w:themeColor="text1"/>
          <w:sz w:val="40"/>
          <w:szCs w:val="40"/>
        </w:rPr>
        <w:t>教学实施方案</w:t>
      </w:r>
    </w:p>
    <w:p w:rsidR="00FD5135" w:rsidRDefault="00FD5135">
      <w:pPr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0"/>
          <w:szCs w:val="40"/>
        </w:rPr>
      </w:pP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为落实学校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因材施教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的教学理念，提升大学英语教学的针对性与实效性，特制定本实施方案，作为分方向选课及教学实施的依据。</w:t>
      </w:r>
    </w:p>
    <w:p w:rsidR="00FD5135" w:rsidRDefault="007C4468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一、方案背景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随着国家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一带一路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倡议深入推进、对外开放步伐持续加快，企业对外交流合作日益频繁，流利的英语口语不仅是对外日常沟通、国际会议磋商、跨境项目协作与外企求职的重要助力，也能在国内各类面试场景中形成突出竞争优势。为适配学校人才培养要求，贴合学生就业、考研、综合提升等差异化发展需求，优化大学英语教学效果，我校以英语教学改革为契机，精准匹配学生口语学习需求、完善口语学习支持体系，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特推行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口语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+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常规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分方向教学模式，其中口语方向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侧重职场与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日常交际应用，常规方向侧重学术基础与应试提升，通过针对性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教学让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学生聚焦核心能力突破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该实施方案的核心目标是贯彻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分类指导、因材施教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的教育理念，满足学生多元化、个性化的发展需求，在夯实学生英语基础的同时，有针对性地提升不同维度的语言能力，最终实现学生英语综合素养与实用能力双向赋能，更好地服务于学生的专业学习、海外求职、职业发展、商务谈判与国际交流等多方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需求。</w:t>
      </w:r>
    </w:p>
    <w:p w:rsidR="00FD5135" w:rsidRDefault="007C4468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二、教学目标</w:t>
      </w:r>
    </w:p>
    <w:p w:rsidR="00FD5135" w:rsidRDefault="007C4468">
      <w:pPr>
        <w:spacing w:line="6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（一）口语方向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突出听说产出能力：以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能说会道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为核心，显著提升学生在真实语境中的英语口头表达、沟通互动与即兴应变能力。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增强交际自信与流利度：通过大量沉浸式、任务型口语训练，帮助学生克服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哑巴英语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，做到语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音清晰、表达自然、逻辑连贯。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发展实用交际技能：涵盖日常对话、小组讨论、学术汇报、面试演讲、跨文化沟通等高频场景，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提升职场与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国际交往竞争力。</w:t>
      </w:r>
    </w:p>
    <w:p w:rsidR="00FD5135" w:rsidRDefault="007C4468">
      <w:pPr>
        <w:spacing w:line="6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color w:val="000000" w:themeColor="text1"/>
          <w:sz w:val="32"/>
          <w:szCs w:val="32"/>
        </w:rPr>
        <w:t>（二）常规方向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强化综合应用能力：重点提升学生的英语阅读理解能力与学术写作能力，使其能有效获取和处理英文专业文献、教材及学术信息。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支撑专业学习：培养学生运用英语进行专业学习的能力，为后续双语课程、国际课程或研究生阶段的学术研究打下语言基础。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夯实语言基础：系统巩固语法、词汇、听力等基本技能，确保学生达到《大学英语教学指南》规定的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基础目标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或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提高目标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水平。</w:t>
      </w:r>
    </w:p>
    <w:p w:rsidR="00FD5135" w:rsidRDefault="007C4468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</w:t>
      </w:r>
      <w:r>
        <w:rPr>
          <w:rFonts w:ascii="黑体" w:eastAsia="黑体" w:hAnsi="黑体" w:cs="黑体"/>
          <w:kern w:val="0"/>
          <w:sz w:val="32"/>
          <w:szCs w:val="32"/>
        </w:rPr>
        <w:t>、分方向核心定位与适配人群</w:t>
      </w:r>
    </w:p>
    <w:p w:rsidR="00FD5135" w:rsidRDefault="007C4468">
      <w:pPr>
        <w:spacing w:line="6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color w:val="000000" w:themeColor="text1"/>
          <w:sz w:val="32"/>
          <w:szCs w:val="32"/>
        </w:rPr>
        <w:lastRenderedPageBreak/>
        <w:t>（一）口语方向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核心定位：以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实用口语交际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为核心，强化日常沟通、校园场景、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职场基础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口语能力，对接就业面试、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职场协作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等实际需求；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适配人群：希望提升口语表达与跨文化交际能力的学生（无口语基础限制，零基础可报名）。</w:t>
      </w:r>
    </w:p>
    <w:p w:rsidR="00FD5135" w:rsidRDefault="007C4468">
      <w:pPr>
        <w:spacing w:line="6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color w:val="000000" w:themeColor="text1"/>
          <w:sz w:val="32"/>
          <w:szCs w:val="32"/>
        </w:rPr>
        <w:t>（二）常规方向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核心定位：以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语言基础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+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读写应用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为核心，夯实词汇、语法体系，提升文本解读、学术读写及应试能力，对接考研等需求；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适配人群：计划考研学生、希望强化英语读写基础者、需提升学术英语应用能力的学生。</w:t>
      </w:r>
    </w:p>
    <w:p w:rsidR="00FD5135" w:rsidRDefault="007C4468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>
        <w:rPr>
          <w:rFonts w:ascii="黑体" w:eastAsia="黑体" w:hAnsi="黑体" w:cs="黑体"/>
          <w:kern w:val="0"/>
          <w:sz w:val="32"/>
          <w:szCs w:val="32"/>
        </w:rPr>
        <w:t>、教学安排</w:t>
      </w:r>
    </w:p>
    <w:p w:rsidR="00FD5135" w:rsidRDefault="007C4468">
      <w:pPr>
        <w:spacing w:line="6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color w:val="000000" w:themeColor="text1"/>
          <w:sz w:val="32"/>
          <w:szCs w:val="32"/>
        </w:rPr>
        <w:t>（一）课程学时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《大学英语》开设口语方向与常规方向，学生选择口语方向即可免修常规方向。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两方向统一总学时皆是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课时（按学校大学英语必修学时标准执行），均为必修课程，修满学时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且考核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合格获对应学分。</w:t>
      </w:r>
    </w:p>
    <w:p w:rsidR="00FD5135" w:rsidRDefault="007C446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注意：口语方向目前两个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同年级对应课程名称如下：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级普通本科学生对应课程名称是大学英语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（口语方向）；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级普通本科学生对应课程名称是大学英语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（口语方向）。</w:t>
      </w:r>
    </w:p>
    <w:p w:rsidR="00FD5135" w:rsidRDefault="00FD5135">
      <w:pPr>
        <w:spacing w:line="56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</w:p>
    <w:p w:rsidR="00FD5135" w:rsidRDefault="007C4468">
      <w:pPr>
        <w:spacing w:line="56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lastRenderedPageBreak/>
        <w:t>（二）</w:t>
      </w:r>
      <w:r>
        <w:rPr>
          <w:rFonts w:ascii="楷体" w:eastAsia="楷体" w:hAnsi="楷体" w:cs="楷体"/>
          <w:color w:val="000000" w:themeColor="text1"/>
          <w:sz w:val="32"/>
          <w:szCs w:val="32"/>
        </w:rPr>
        <w:t>教学内容设置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3738"/>
        <w:gridCol w:w="3010"/>
      </w:tblGrid>
      <w:tr w:rsidR="00FD5135">
        <w:trPr>
          <w:tblHeader/>
        </w:trPr>
        <w:tc>
          <w:tcPr>
            <w:tcW w:w="126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5135" w:rsidRDefault="007C4468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2"/>
                <w:szCs w:val="32"/>
              </w:rPr>
              <w:t>方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2"/>
                <w:szCs w:val="32"/>
              </w:rPr>
              <w:t>向</w:t>
            </w:r>
          </w:p>
        </w:tc>
        <w:tc>
          <w:tcPr>
            <w:tcW w:w="207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5135" w:rsidRDefault="007C4468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2"/>
                <w:szCs w:val="32"/>
              </w:rPr>
              <w:t>核心教学模块</w:t>
            </w:r>
          </w:p>
        </w:tc>
        <w:tc>
          <w:tcPr>
            <w:tcW w:w="3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5135" w:rsidRDefault="007C4468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sz w:val="32"/>
                <w:szCs w:val="32"/>
              </w:rPr>
              <w:t>教学形式</w:t>
            </w:r>
          </w:p>
        </w:tc>
      </w:tr>
      <w:tr w:rsidR="00FD5135">
        <w:trPr>
          <w:trHeight w:val="7059"/>
        </w:trPr>
        <w:tc>
          <w:tcPr>
            <w:tcW w:w="12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5135" w:rsidRDefault="007C4468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口语方向</w:t>
            </w:r>
          </w:p>
        </w:tc>
        <w:tc>
          <w:tcPr>
            <w:tcW w:w="207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大学英语口语方向课程旨在通过大量的练习和实践，逐步培养和提高学生用英语进行口头交际的能力。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教学内容可分为：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基础语音语调；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日常交际用语；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话题探讨与陈述；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出国口语与求职口语；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跨文化交际实战项目；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6.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职场专题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口语实战演练（角色扮演、模拟面试、商务谈判）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7.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应试专题口语模块（帮助学生准备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四六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级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或雅思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托福口语考试）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8.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口语高阶能力训练模块：英语演讲、英语辩论等</w:t>
            </w:r>
          </w:p>
          <w:p w:rsidR="00FD5135" w:rsidRDefault="00FD5135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结合产出导向法（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POA),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强调实践性和互动性，通过案例分析、角色扮演、小组讨论、情景模拟、项目式或任务型教学、影视欣赏等多种方式激发学生学习口语的积极性。</w:t>
            </w:r>
          </w:p>
          <w:p w:rsidR="00FD5135" w:rsidRDefault="00FD5135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</w:p>
        </w:tc>
      </w:tr>
      <w:tr w:rsidR="00FD5135">
        <w:tc>
          <w:tcPr>
            <w:tcW w:w="12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5135" w:rsidRDefault="007C4468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lastRenderedPageBreak/>
              <w:t>常规方向</w:t>
            </w:r>
          </w:p>
        </w:tc>
        <w:tc>
          <w:tcPr>
            <w:tcW w:w="207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核心词汇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语法巩固；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阅读理解训练（考研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四六级真题</w:t>
            </w:r>
            <w:proofErr w:type="gramEnd"/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文本解读）；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实用写作（应用文、议论文）；</w:t>
            </w:r>
          </w:p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应试技巧突破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3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5135" w:rsidRDefault="007C4468">
            <w:pPr>
              <w:spacing w:line="560" w:lineRule="exact"/>
              <w:rPr>
                <w:rFonts w:ascii="Times New Roman" w:eastAsia="仿宋_GB2312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32"/>
                <w:szCs w:val="32"/>
              </w:rPr>
              <w:t>班级授课、讲练结合、真题解析</w:t>
            </w:r>
          </w:p>
        </w:tc>
      </w:tr>
    </w:tbl>
    <w:p w:rsidR="00FD5135" w:rsidRDefault="007C4468">
      <w:pPr>
        <w:pStyle w:val="3"/>
        <w:ind w:firstLineChars="200" w:firstLine="640"/>
        <w:rPr>
          <w:rFonts w:ascii="楷体" w:eastAsia="楷体" w:hAnsi="楷体" w:cs="楷体"/>
          <w:b w:val="0"/>
          <w:bCs w:val="0"/>
          <w:color w:val="000000" w:themeColor="text1"/>
          <w:kern w:val="2"/>
          <w:sz w:val="32"/>
          <w:szCs w:val="32"/>
        </w:rPr>
      </w:pPr>
      <w:r>
        <w:rPr>
          <w:rFonts w:ascii="楷体" w:eastAsia="楷体" w:hAnsi="楷体" w:cs="楷体" w:hint="eastAsia"/>
          <w:b w:val="0"/>
          <w:bCs w:val="0"/>
          <w:color w:val="000000" w:themeColor="text1"/>
          <w:kern w:val="2"/>
          <w:sz w:val="32"/>
          <w:szCs w:val="32"/>
        </w:rPr>
        <w:t>（三）考核方式</w:t>
      </w:r>
    </w:p>
    <w:p w:rsidR="00FD5135" w:rsidRDefault="007C4468">
      <w:pPr>
        <w:pStyle w:val="Style13"/>
        <w:spacing w:before="0" w:after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口语方向：课堂表现参与度（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30%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课后口语训练（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20%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期末口语测试（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50%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）。</w:t>
      </w:r>
    </w:p>
    <w:p w:rsidR="00FD5135" w:rsidRDefault="007C4468">
      <w:pPr>
        <w:pStyle w:val="Style13"/>
        <w:spacing w:before="0" w:after="0"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常规方向：平时表现（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30%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期末口语（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10%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 xml:space="preserve">+ 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期末笔试（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60%</w:t>
      </w:r>
      <w:r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，含听力、阅读、写作、语法应用等）。</w:t>
      </w:r>
    </w:p>
    <w:p w:rsidR="00FD5135" w:rsidRDefault="007C4468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四、附则</w:t>
      </w:r>
    </w:p>
    <w:p w:rsidR="00FD5135" w:rsidRDefault="007C4468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本方案自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2025-2026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学年第二学期起实施，由教务处、经济管理学院负责解释。</w:t>
      </w:r>
    </w:p>
    <w:p w:rsidR="00FD5135" w:rsidRDefault="00FD51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FD51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FD51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FD51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FD51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FD51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D5135" w:rsidRDefault="007C4468">
      <w:r>
        <w:br w:type="page"/>
      </w:r>
    </w:p>
    <w:p w:rsidR="00FD5135" w:rsidRDefault="007C4468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2</w:t>
      </w:r>
    </w:p>
    <w:p w:rsidR="00FD5135" w:rsidRDefault="007C4468">
      <w:pPr>
        <w:pStyle w:val="a5"/>
        <w:spacing w:before="0" w:after="0" w:line="600" w:lineRule="exact"/>
        <w:jc w:val="center"/>
        <w:rPr>
          <w:rFonts w:ascii="Times New Roman" w:eastAsia="方正小标宋简体" w:hAnsi="Times New Roman" w:cs="Times New Roman"/>
          <w:b w:val="0"/>
          <w:bCs w:val="0"/>
          <w:color w:val="000000" w:themeColor="text1"/>
          <w:kern w:val="2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 w:val="0"/>
          <w:bCs w:val="0"/>
          <w:color w:val="000000" w:themeColor="text1"/>
          <w:kern w:val="2"/>
          <w:sz w:val="40"/>
          <w:szCs w:val="40"/>
        </w:rPr>
        <w:t>福州理工学院大学英语口语方向学生选课</w:t>
      </w:r>
    </w:p>
    <w:p w:rsidR="00FD5135" w:rsidRDefault="007C4468">
      <w:pPr>
        <w:pStyle w:val="a5"/>
        <w:spacing w:before="0" w:after="0" w:line="600" w:lineRule="exact"/>
        <w:jc w:val="center"/>
        <w:rPr>
          <w:rFonts w:ascii="Times New Roman" w:eastAsia="方正小标宋简体" w:hAnsi="Times New Roman" w:cs="Times New Roman"/>
          <w:b w:val="0"/>
          <w:bCs w:val="0"/>
          <w:color w:val="000000" w:themeColor="text1"/>
          <w:kern w:val="2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 w:val="0"/>
          <w:bCs w:val="0"/>
          <w:color w:val="000000" w:themeColor="text1"/>
          <w:kern w:val="2"/>
          <w:sz w:val="40"/>
          <w:szCs w:val="40"/>
        </w:rPr>
        <w:t>操作指南</w:t>
      </w:r>
    </w:p>
    <w:p w:rsidR="00FD5135" w:rsidRDefault="00FD5135">
      <w:pPr>
        <w:pStyle w:val="a5"/>
        <w:spacing w:before="0" w:after="0" w:line="240" w:lineRule="auto"/>
        <w:rPr>
          <w:rFonts w:ascii="方正小标宋简体" w:eastAsia="方正小标宋简体" w:hAnsi="方正小标宋简体" w:cs="方正小标宋简体"/>
          <w:sz w:val="21"/>
          <w:szCs w:val="21"/>
        </w:rPr>
      </w:pPr>
    </w:p>
    <w:p w:rsidR="00FD5135" w:rsidRDefault="007C4468">
      <w:pPr>
        <w:pStyle w:val="a5"/>
        <w:spacing w:before="0" w:after="0" w:line="560" w:lineRule="exact"/>
        <w:ind w:firstLineChars="200" w:firstLine="64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一、教务系统登陆</w:t>
      </w:r>
    </w:p>
    <w:p w:rsidR="00FD5135" w:rsidRDefault="007C4468">
      <w:pPr>
        <w:pStyle w:val="a5"/>
        <w:spacing w:before="0" w:after="0"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网址链接：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http://oaa.fitedu.net/jwglxt/xtgl/login_slogin.html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。用户名为学号，初始密码为证件号后六位，如果有忘记密码的可以找辅导员进行重置。</w:t>
      </w:r>
    </w:p>
    <w:p w:rsidR="00FD5135" w:rsidRDefault="007C4468">
      <w:pPr>
        <w:pStyle w:val="a5"/>
        <w:spacing w:before="0" w:after="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574030" cy="2680970"/>
            <wp:effectExtent l="0" t="0" r="7620" b="508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35" w:rsidRDefault="007C4468">
      <w:pPr>
        <w:pStyle w:val="a5"/>
        <w:spacing w:before="0" w:after="0" w:line="560" w:lineRule="exact"/>
        <w:ind w:firstLineChars="200" w:firstLine="64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二、进入“选课”，点击“自主选课”。</w:t>
      </w:r>
    </w:p>
    <w:p w:rsidR="00FD5135" w:rsidRDefault="007C4468">
      <w:pPr>
        <w:pStyle w:val="a5"/>
        <w:spacing w:before="0" w:after="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565775" cy="2343150"/>
            <wp:effectExtent l="0" t="0" r="15875" b="0"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35" w:rsidRDefault="007C4468">
      <w:pPr>
        <w:pStyle w:val="a5"/>
        <w:spacing w:before="0" w:after="0" w:line="560" w:lineRule="exact"/>
        <w:ind w:firstLineChars="200" w:firstLine="64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三、选择课程</w:t>
      </w:r>
    </w:p>
    <w:p w:rsidR="00FD5135" w:rsidRDefault="007C4468">
      <w:pPr>
        <w:pStyle w:val="a5"/>
        <w:spacing w:before="0" w:after="0"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lastRenderedPageBreak/>
        <w:t>进入自主选课界面，输入对应的课程名称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级输入大学英语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（口语方向）、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级输入大学英语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（口语方向）点击查询就会显示对应班级，点选课。</w:t>
      </w:r>
    </w:p>
    <w:p w:rsidR="00FD5135" w:rsidRDefault="007C4468">
      <w:pPr>
        <w:pStyle w:val="a5"/>
        <w:spacing w:before="0" w:after="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577840" cy="20237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22796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35" w:rsidRDefault="007C4468">
      <w:pPr>
        <w:pStyle w:val="a5"/>
        <w:spacing w:before="0" w:after="0" w:line="560" w:lineRule="exact"/>
        <w:ind w:firstLineChars="200" w:firstLine="640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四、选课结果</w:t>
      </w:r>
    </w:p>
    <w:p w:rsidR="00FD5135" w:rsidRDefault="007C4468">
      <w:pPr>
        <w:pStyle w:val="a5"/>
        <w:spacing w:before="0" w:after="0"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color w:val="000000" w:themeColor="text1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点击选课后界面会显示一条绿色的已选课程代表已经选课成功，如果想要换一个班级进行上课在选课结束时间前</w:t>
      </w:r>
      <w:proofErr w:type="gramStart"/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点退选再</w:t>
      </w:r>
      <w:proofErr w:type="gramEnd"/>
      <w:r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2"/>
          <w:sz w:val="32"/>
          <w:szCs w:val="32"/>
        </w:rPr>
        <w:t>选择另外班级。选课时间一旦结束，原则上不得退课，应遵守学校的相关管理规定，并按要求完成学习任务。课程学习结束、考核合格后取得相应的学分。</w:t>
      </w:r>
    </w:p>
    <w:p w:rsidR="00FD5135" w:rsidRDefault="007C4468">
      <w:pPr>
        <w:pStyle w:val="a6"/>
        <w:ind w:firstLine="210"/>
      </w:pPr>
      <w:r>
        <w:rPr>
          <w:noProof/>
        </w:rPr>
        <w:drawing>
          <wp:inline distT="0" distB="0" distL="114300" distR="114300">
            <wp:extent cx="5577840" cy="1804670"/>
            <wp:effectExtent l="0" t="0" r="0" b="0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b="2120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page" w:tblpX="1570" w:tblpY="720"/>
        <w:tblOverlap w:val="never"/>
        <w:tblW w:w="904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9"/>
      </w:tblGrid>
      <w:tr w:rsidR="00FD5135">
        <w:trPr>
          <w:trHeight w:val="572"/>
        </w:trPr>
        <w:tc>
          <w:tcPr>
            <w:tcW w:w="9049" w:type="dxa"/>
            <w:tcBorders>
              <w:tl2br w:val="nil"/>
              <w:tr2bl w:val="nil"/>
            </w:tcBorders>
          </w:tcPr>
          <w:p w:rsidR="00FD5135" w:rsidRDefault="007C4468">
            <w:pPr>
              <w:pStyle w:val="a6"/>
              <w:spacing w:after="0"/>
              <w:ind w:firstLineChars="0" w:firstLine="0"/>
            </w:pPr>
            <w:r>
              <w:rPr>
                <w:rFonts w:ascii="仿宋_GB2312" w:eastAsia="仿宋_GB2312" w:hint="eastAsia"/>
                <w:sz w:val="28"/>
                <w:szCs w:val="28"/>
              </w:rPr>
              <w:t>福州理工学院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FD5135" w:rsidRDefault="00FD5135"/>
    <w:sectPr w:rsidR="00FD5135">
      <w:pgSz w:w="11906" w:h="16838"/>
      <w:pgMar w:top="1587" w:right="1559" w:bottom="1587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E70BE1C7-F808-4DD4-9012-C7A57C4B328D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88C3713A-7A50-4BE2-858A-F85A10A0EFA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C641ECE-5597-4526-8681-EF0217BC9FA1}"/>
    <w:embedBold r:id="rId4" w:subsetted="1" w:fontKey="{0DBD6F14-722A-4555-ABB3-1B69157D209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8D91CA5-9451-45DF-8D31-10AE2FF00D9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A34295B-34E7-439B-A0B9-A74FD77B5C2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63EA18C2-8403-408B-B90A-381B0235946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EBD23"/>
    <w:multiLevelType w:val="singleLevel"/>
    <w:tmpl w:val="6C3EB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35"/>
    <w:rsid w:val="007C4468"/>
    <w:rsid w:val="00FD5135"/>
    <w:rsid w:val="042F1010"/>
    <w:rsid w:val="0D3D1A44"/>
    <w:rsid w:val="18682D19"/>
    <w:rsid w:val="1BAF6202"/>
    <w:rsid w:val="20104D96"/>
    <w:rsid w:val="203767C6"/>
    <w:rsid w:val="281257BB"/>
    <w:rsid w:val="2C025EDA"/>
    <w:rsid w:val="2C8E7465"/>
    <w:rsid w:val="2ED25BDE"/>
    <w:rsid w:val="340071A3"/>
    <w:rsid w:val="34A90683"/>
    <w:rsid w:val="40C81736"/>
    <w:rsid w:val="412B5099"/>
    <w:rsid w:val="43065E58"/>
    <w:rsid w:val="51984A67"/>
    <w:rsid w:val="5E0D40E7"/>
    <w:rsid w:val="62AE4BB1"/>
    <w:rsid w:val="648E7197"/>
    <w:rsid w:val="6DCD1B8E"/>
    <w:rsid w:val="6EDF260E"/>
    <w:rsid w:val="6F6D2C38"/>
    <w:rsid w:val="70366BE3"/>
    <w:rsid w:val="7B164183"/>
    <w:rsid w:val="7C0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E5DDC0-B442-4CF5-B003-D1649B6F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styleId="a6">
    <w:name w:val="Body Text First Indent"/>
    <w:basedOn w:val="a4"/>
    <w:next w:val="a"/>
    <w:uiPriority w:val="99"/>
    <w:unhideWhenUsed/>
    <w:qFormat/>
    <w:pPr>
      <w:ind w:firstLineChars="100" w:firstLine="42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Pr>
      <w:b/>
      <w:bCs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537</Words>
  <Characters>3065</Characters>
  <Application>Microsoft Office Word</Application>
  <DocSecurity>0</DocSecurity>
  <Lines>25</Lines>
  <Paragraphs>7</Paragraphs>
  <ScaleCrop>false</ScaleCrop>
  <Company>WORKGROUP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2026-02-04T06:36:00Z</dcterms:created>
  <dcterms:modified xsi:type="dcterms:W3CDTF">2026-04-28T01:08:00Z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eyJoZGlkIjoiZGQxZTViYjk5NThhNmY4ODFhZmE3NzEyMmRkMjVmZmQiLCJ1c2VySWQiOiI1NjQ1MDY2MzgifQ==</vt:lpwstr>
  </property>
  <property fmtid="{D5CDD505-2E9C-101B-9397-08002B2CF9AE}" pid="4" name="ICV">
    <vt:lpwstr>DE1ED5CB61A247C1B454FEB7FAE60B46_13</vt:lpwstr>
  </property>
</Properties>
</file>