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51" w:rsidRDefault="00A33A9B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 州 理 工 学 院</w:t>
      </w:r>
    </w:p>
    <w:p w:rsidR="0034247E" w:rsidRDefault="0034247E" w:rsidP="0034247E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福理工教〔2025〕</w:t>
      </w:r>
      <w:r>
        <w:rPr>
          <w:rFonts w:ascii="仿宋_GB2312" w:eastAsia="仿宋_GB2312"/>
          <w:color w:val="000000" w:themeColor="text1"/>
          <w:sz w:val="32"/>
          <w:szCs w:val="32"/>
        </w:rPr>
        <w:t>126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8E5C51" w:rsidRDefault="00A33A9B">
      <w:pPr>
        <w:spacing w:line="240" w:lineRule="exact"/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</w:t>
      </w:r>
    </w:p>
    <w:p w:rsidR="008E5C51" w:rsidRDefault="008E5C51">
      <w:pPr>
        <w:pStyle w:val="a6"/>
        <w:wordWrap w:val="0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E5C51" w:rsidRDefault="00A33A9B">
      <w:pPr>
        <w:pStyle w:val="a6"/>
        <w:wordWrap w:val="0"/>
        <w:spacing w:before="0" w:beforeAutospacing="0" w:after="0" w:afterAutospacing="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关于2025-2026学年第一学期大学日语、大学英语、军事理论、大学体育免修</w:t>
      </w:r>
    </w:p>
    <w:p w:rsidR="008E5C51" w:rsidRDefault="00A33A9B">
      <w:pPr>
        <w:pStyle w:val="a6"/>
        <w:wordWrap w:val="0"/>
        <w:spacing w:before="0" w:beforeAutospacing="0" w:after="0" w:afterAutospacing="0" w:line="70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流程申请的通知</w:t>
      </w:r>
    </w:p>
    <w:p w:rsidR="008E5C51" w:rsidRDefault="008E5C51">
      <w:pPr>
        <w:pStyle w:val="a6"/>
        <w:wordWrap w:val="0"/>
        <w:spacing w:before="0" w:beforeAutospacing="0" w:after="0" w:afterAutospacing="0" w:line="400" w:lineRule="exact"/>
        <w:jc w:val="center"/>
        <w:rPr>
          <w:rFonts w:ascii="仿宋_GB2312" w:eastAsia="仿宋_GB2312" w:hAnsi="Calibri" w:cstheme="minorBidi"/>
          <w:kern w:val="2"/>
          <w:sz w:val="32"/>
          <w:szCs w:val="32"/>
        </w:rPr>
      </w:pP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各二级学院：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关于2025-2026学年第一学期大学日语、大学英语、军事理论、大学体育免修流程通知，于2025年9月15日开始,截止时间2025年9月21日，面向2024级、2025级普通本科学生。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一、申请条件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1.通过大学英语四、六级考试的学生，可登录教务系统申请《大学英语》课程免修。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2.通过日语等级考试N3、N2或N1级别的学生，可登录教务系统申请《大学日语》课程免修。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3.退役复学学生可登录教务系统申请《军事理论》《大学体育》课程免修。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二、申请流程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t>详细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申请</w:t>
      </w:r>
      <w:r>
        <w:rPr>
          <w:rFonts w:ascii="仿宋_GB2312" w:eastAsia="仿宋_GB2312" w:hAnsi="Times New Roman" w:cs="Times New Roman"/>
          <w:sz w:val="32"/>
          <w:szCs w:val="32"/>
        </w:rPr>
        <w:t>流程见附件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三、注意事项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1.提交申请后，请及时关注教务系统审核状态。若审核未通过，请按要求重新提交材料。</w:t>
      </w: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rightChars="-100" w:right="-210"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2.因审核周期较长，提交免修申请后如不计划继续跟班修读，须提前向任课教师报备。</w:t>
      </w:r>
    </w:p>
    <w:p w:rsidR="00BB0CBE" w:rsidRDefault="00BB0CBE">
      <w:pPr>
        <w:tabs>
          <w:tab w:val="left" w:pos="7560"/>
        </w:tabs>
        <w:adjustRightInd w:val="0"/>
        <w:snapToGrid w:val="0"/>
        <w:spacing w:line="600" w:lineRule="exact"/>
        <w:ind w:leftChars="304" w:left="638" w:rightChars="-100" w:right="-210"/>
        <w:rPr>
          <w:rFonts w:ascii="仿宋_GB2312" w:eastAsia="仿宋_GB2312" w:hAnsi="Times New Roman" w:cs="Times New Roman"/>
          <w:sz w:val="32"/>
          <w:szCs w:val="32"/>
        </w:rPr>
      </w:pPr>
    </w:p>
    <w:p w:rsidR="008E5C51" w:rsidRDefault="00A33A9B">
      <w:pPr>
        <w:tabs>
          <w:tab w:val="left" w:pos="7560"/>
        </w:tabs>
        <w:adjustRightInd w:val="0"/>
        <w:snapToGrid w:val="0"/>
        <w:spacing w:line="600" w:lineRule="exact"/>
        <w:ind w:leftChars="304" w:left="638" w:rightChars="-100" w:right="-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附件：大学日语、大学英语、军事理论、大学体育免修流程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</w:t>
      </w:r>
    </w:p>
    <w:p w:rsidR="008E5C51" w:rsidRDefault="008E5C51">
      <w:pPr>
        <w:tabs>
          <w:tab w:val="left" w:pos="7560"/>
        </w:tabs>
        <w:adjustRightInd w:val="0"/>
        <w:snapToGrid w:val="0"/>
        <w:spacing w:line="600" w:lineRule="exact"/>
        <w:ind w:rightChars="-100" w:right="-21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8E5C51" w:rsidRDefault="008E5C51">
      <w:pPr>
        <w:tabs>
          <w:tab w:val="left" w:pos="7560"/>
        </w:tabs>
        <w:adjustRightInd w:val="0"/>
        <w:snapToGrid w:val="0"/>
        <w:spacing w:line="600" w:lineRule="exact"/>
        <w:ind w:rightChars="-100" w:right="-210"/>
        <w:rPr>
          <w:rFonts w:ascii="仿宋_GB2312" w:eastAsia="仿宋_GB2312" w:hAnsi="仿宋_GB2312" w:cs="仿宋_GB2312"/>
          <w:sz w:val="32"/>
          <w:szCs w:val="32"/>
        </w:rPr>
      </w:pPr>
    </w:p>
    <w:p w:rsidR="00BB0CBE" w:rsidRPr="00BB0CBE" w:rsidRDefault="00BB0CBE">
      <w:pPr>
        <w:tabs>
          <w:tab w:val="left" w:pos="7560"/>
        </w:tabs>
        <w:adjustRightInd w:val="0"/>
        <w:snapToGrid w:val="0"/>
        <w:spacing w:line="600" w:lineRule="exact"/>
        <w:ind w:rightChars="-100" w:right="-210"/>
        <w:rPr>
          <w:rFonts w:ascii="仿宋_GB2312" w:eastAsia="仿宋_GB2312" w:hAnsi="仿宋_GB2312" w:cs="仿宋_GB2312"/>
          <w:sz w:val="32"/>
          <w:szCs w:val="32"/>
        </w:rPr>
      </w:pPr>
    </w:p>
    <w:p w:rsidR="008E5C51" w:rsidRDefault="00A33A9B">
      <w:pPr>
        <w:pStyle w:val="a7"/>
        <w:spacing w:after="0"/>
        <w:ind w:leftChars="-100" w:left="-210" w:rightChars="-100" w:right="-210" w:firstLine="3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福州理工学院教务处</w:t>
      </w:r>
    </w:p>
    <w:p w:rsidR="008E5C51" w:rsidRDefault="00A33A9B">
      <w:pPr>
        <w:pStyle w:val="a7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2025年9月</w:t>
      </w:r>
      <w:r w:rsidR="00BB0CBE"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E5C51" w:rsidRDefault="008E5C51">
      <w:pPr>
        <w:pStyle w:val="a6"/>
        <w:wordWrap w:val="0"/>
        <w:spacing w:beforeAutospacing="0" w:afterAutospacing="0"/>
        <w:rPr>
          <w:rFonts w:ascii="仿宋_GB2312" w:eastAsia="仿宋_GB2312" w:hAnsi="Calibri" w:cstheme="minorBidi"/>
          <w:kern w:val="2"/>
          <w:sz w:val="32"/>
          <w:szCs w:val="32"/>
        </w:rPr>
      </w:pPr>
    </w:p>
    <w:p w:rsidR="008E5C51" w:rsidRDefault="008E5C51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/>
          <w:sz w:val="32"/>
          <w:szCs w:val="32"/>
        </w:rPr>
      </w:pPr>
    </w:p>
    <w:p w:rsidR="00BB0CBE" w:rsidRDefault="00BB0CBE">
      <w:pPr>
        <w:rPr>
          <w:rFonts w:ascii="黑体" w:eastAsia="黑体" w:hAnsi="黑体" w:cs="黑体" w:hint="eastAsia"/>
          <w:sz w:val="32"/>
          <w:szCs w:val="32"/>
        </w:rPr>
      </w:pPr>
    </w:p>
    <w:p w:rsidR="008E5C51" w:rsidRDefault="00A33A9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8E5C51" w:rsidRDefault="00A33A9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大学日语、大学英语、军事理论、大学体育免修流程</w:t>
      </w:r>
    </w:p>
    <w:p w:rsidR="008E5C51" w:rsidRDefault="008E5C51">
      <w:pPr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E5C51" w:rsidRDefault="00A33A9B">
      <w:pPr>
        <w:ind w:firstLineChars="200" w:firstLine="880"/>
        <w:rPr>
          <w:rFonts w:ascii="仿宋_GB2312" w:eastAsia="仿宋_GB2312" w:hAnsi="Times New Roman" w:cs="Times New Roman"/>
          <w:sz w:val="32"/>
          <w:szCs w:val="32"/>
        </w:rPr>
      </w:pPr>
      <w:bookmarkStart w:id="1" w:name="_Toc26326"/>
      <w:bookmarkStart w:id="2" w:name="_Toc21093"/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申请大学英语、大学日语课程免修</w:t>
      </w:r>
      <w:bookmarkEnd w:id="1"/>
      <w:bookmarkEnd w:id="2"/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流程</w:t>
      </w:r>
      <w:r>
        <w:rPr>
          <w:rFonts w:ascii="仿宋_GB2312" w:eastAsia="仿宋_GB2312" w:hAnsi="Times New Roman" w:cs="Times New Roman" w:hint="eastAsia"/>
          <w:sz w:val="32"/>
          <w:szCs w:val="32"/>
        </w:rPr>
        <w:br/>
        <w:t xml:space="preserve">    一、教务系统《大学英语》《大学日语》课程免修必须完成（一）学分认定、（二）免修免考申请两个步骤，两个步骤可同时进行：</w:t>
      </w:r>
    </w:p>
    <w:p w:rsidR="008E5C51" w:rsidRDefault="00A33A9B">
      <w:pPr>
        <w:numPr>
          <w:ilvl w:val="0"/>
          <w:numId w:val="1"/>
        </w:numPr>
        <w:ind w:leftChars="304" w:left="638"/>
        <w:jc w:val="left"/>
        <w:outlineLvl w:val="1"/>
        <w:rPr>
          <w:rFonts w:ascii="仿宋_GB2312" w:eastAsia="仿宋_GB2312" w:hAnsi="Times New Roman" w:cs="Times New Roman"/>
          <w:sz w:val="32"/>
          <w:szCs w:val="32"/>
        </w:rPr>
      </w:pPr>
      <w:bookmarkStart w:id="3" w:name="_Toc10064"/>
      <w:bookmarkStart w:id="4" w:name="_Toc6207"/>
      <w:r>
        <w:rPr>
          <w:rFonts w:ascii="仿宋_GB2312" w:eastAsia="仿宋_GB2312" w:hAnsi="Times New Roman" w:cs="Times New Roman" w:hint="eastAsia"/>
          <w:sz w:val="32"/>
          <w:szCs w:val="32"/>
        </w:rPr>
        <w:t>学分认定</w:t>
      </w:r>
    </w:p>
    <w:p w:rsidR="008E5C51" w:rsidRDefault="00A33A9B">
      <w:pPr>
        <w:ind w:firstLineChars="200" w:firstLine="640"/>
        <w:jc w:val="left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1.登入教务系统——点击“报名申请”——点击“学生成绩学分认定申请”</w:t>
      </w:r>
      <w:r>
        <w:rPr>
          <w:rFonts w:ascii="仿宋_GB2312" w:eastAsia="仿宋_GB2312" w:hAnsi="Times New Roman" w:cs="Times New Roman" w:hint="eastAsia"/>
          <w:sz w:val="32"/>
          <w:szCs w:val="32"/>
        </w:rPr>
        <w:br/>
      </w:r>
      <w:r>
        <w:rPr>
          <w:noProof/>
        </w:rPr>
        <w:drawing>
          <wp:inline distT="0" distB="0" distL="114300" distR="114300">
            <wp:extent cx="3319780" cy="3113405"/>
            <wp:effectExtent l="0" t="0" r="4445" b="127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26430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</w:p>
    <w:p w:rsidR="008E5C51" w:rsidRDefault="00A33A9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5" w:name="_Toc23900"/>
      <w:bookmarkStart w:id="6" w:name="_Toc29129"/>
      <w:bookmarkStart w:id="7" w:name="_Toc31130"/>
      <w:r>
        <w:rPr>
          <w:rFonts w:ascii="仿宋_GB2312" w:eastAsia="仿宋_GB2312" w:hAnsi="Times New Roman" w:cs="Times New Roman" w:hint="eastAsia"/>
          <w:sz w:val="32"/>
          <w:szCs w:val="32"/>
        </w:rPr>
        <w:t>2.进去以后，点击“申请”</w:t>
      </w:r>
      <w:bookmarkEnd w:id="5"/>
      <w:bookmarkEnd w:id="6"/>
      <w:bookmarkEnd w:id="7"/>
    </w:p>
    <w:p w:rsidR="008E5C51" w:rsidRDefault="00A33A9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789295" cy="2681605"/>
            <wp:effectExtent l="0" t="0" r="1905" b="444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929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A33A9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3.申请详情：选择文件--上传证明附件--点击添加校外课程——按要求填写校外课程信息——点击选择校内课程——按要求选择课程</w:t>
      </w:r>
    </w:p>
    <w:p w:rsidR="008E5C51" w:rsidRDefault="00A33A9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775325" cy="3232785"/>
            <wp:effectExtent l="0" t="0" r="6350" b="571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A33A9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897245" cy="2813685"/>
            <wp:effectExtent l="0" t="0" r="8255" b="571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8E5C51"/>
    <w:p w:rsidR="008E5C51" w:rsidRDefault="00A33A9B">
      <w:pPr>
        <w:adjustRightInd w:val="0"/>
        <w:snapToGrid w:val="0"/>
        <w:ind w:left="420" w:hangingChars="200" w:hanging="42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>
            <wp:extent cx="5861685" cy="3152775"/>
            <wp:effectExtent l="0" t="0" r="5715" b="0"/>
            <wp:docPr id="17" name="图片 17" descr="4e95557643ce7f22ced95236159b5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e95557643ce7f22ced95236159b5c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 w:cs="Times New Roman" w:hint="eastAsia"/>
          <w:sz w:val="32"/>
          <w:szCs w:val="32"/>
        </w:rPr>
        <w:t>英语四级成绩换算：四级成绩乘以0.165，四舍五入，保留整数。</w:t>
      </w:r>
      <w:r>
        <w:rPr>
          <w:rFonts w:ascii="仿宋_GB2312" w:eastAsia="仿宋_GB2312" w:hAnsi="Times New Roman" w:cs="Times New Roman" w:hint="eastAsia"/>
          <w:sz w:val="32"/>
          <w:szCs w:val="32"/>
        </w:rPr>
        <w:br/>
        <w:t>英语六级成绩换算：六级成绩乘以0.189，四舍五入，保留整数。</w:t>
      </w:r>
      <w:r>
        <w:rPr>
          <w:rFonts w:ascii="仿宋_GB2312" w:eastAsia="仿宋_GB2312" w:hAnsi="Times New Roman" w:cs="Times New Roman" w:hint="eastAsia"/>
          <w:sz w:val="32"/>
          <w:szCs w:val="32"/>
        </w:rPr>
        <w:br/>
        <w:t>日语成绩统一按70分填写。</w:t>
      </w:r>
    </w:p>
    <w:p w:rsidR="008E5C51" w:rsidRDefault="00A33A9B">
      <w:r>
        <w:rPr>
          <w:noProof/>
        </w:rPr>
        <w:lastRenderedPageBreak/>
        <w:drawing>
          <wp:inline distT="0" distB="0" distL="114300" distR="114300">
            <wp:extent cx="5851525" cy="2893060"/>
            <wp:effectExtent l="0" t="0" r="6350" b="254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A33A9B">
      <w:pPr>
        <w:ind w:leftChars="304" w:left="638"/>
        <w:rPr>
          <w:rFonts w:ascii="仿宋_GB2312" w:eastAsia="仿宋_GB2312" w:hAnsi="Times New Roman" w:cs="Times New Roman"/>
          <w:sz w:val="32"/>
          <w:szCs w:val="32"/>
        </w:rPr>
      </w:pPr>
      <w:bookmarkStart w:id="8" w:name="_Toc30443"/>
      <w:bookmarkStart w:id="9" w:name="_Toc18897"/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Times New Roman" w:cs="Times New Roman" w:hint="eastAsia"/>
          <w:sz w:val="32"/>
          <w:szCs w:val="32"/>
        </w:rPr>
        <w:t>（二）免修免考申请</w:t>
      </w:r>
      <w:bookmarkEnd w:id="8"/>
      <w:bookmarkEnd w:id="9"/>
    </w:p>
    <w:p w:rsidR="008E5C51" w:rsidRDefault="00A33A9B">
      <w:pPr>
        <w:ind w:firstLineChars="200" w:firstLine="640"/>
        <w:jc w:val="left"/>
      </w:pPr>
      <w:r>
        <w:rPr>
          <w:rFonts w:ascii="仿宋_GB2312" w:eastAsia="仿宋_GB2312" w:hAnsi="Times New Roman" w:cs="Times New Roman" w:hint="eastAsia"/>
          <w:sz w:val="32"/>
          <w:szCs w:val="32"/>
        </w:rPr>
        <w:t>点击报名申请--教学项目报名--点击免修免考的报名--点击确定--英语勾选大学英语（3）、日语勾选大学日语--填写原因、上传附件、点击确认。</w:t>
      </w:r>
      <w:r>
        <w:rPr>
          <w:rFonts w:ascii="仿宋_GB2312" w:eastAsia="仿宋_GB2312" w:hAnsi="Times New Roman" w:cs="Times New Roman" w:hint="eastAsia"/>
          <w:sz w:val="32"/>
          <w:szCs w:val="32"/>
        </w:rPr>
        <w:br/>
      </w:r>
      <w:r>
        <w:rPr>
          <w:noProof/>
        </w:rPr>
        <w:drawing>
          <wp:inline distT="0" distB="0" distL="114300" distR="114300">
            <wp:extent cx="2187575" cy="3673475"/>
            <wp:effectExtent l="0" t="0" r="3175" b="317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114300" distR="114300">
            <wp:extent cx="5598795" cy="3384550"/>
            <wp:effectExtent l="0" t="0" r="1905" b="635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8E5C51">
      <w:pPr>
        <w:ind w:firstLineChars="200" w:firstLine="420"/>
        <w:jc w:val="left"/>
      </w:pPr>
    </w:p>
    <w:p w:rsidR="008E5C51" w:rsidRDefault="008E5C51">
      <w:pPr>
        <w:ind w:firstLineChars="200" w:firstLine="420"/>
        <w:jc w:val="left"/>
      </w:pPr>
    </w:p>
    <w:p w:rsidR="008E5C51" w:rsidRDefault="008E5C51">
      <w:pPr>
        <w:ind w:firstLineChars="200" w:firstLine="420"/>
        <w:jc w:val="left"/>
      </w:pPr>
    </w:p>
    <w:p w:rsidR="008E5C51" w:rsidRDefault="00A33A9B">
      <w:pPr>
        <w:jc w:val="left"/>
        <w:sectPr w:rsidR="008E5C51">
          <w:footerReference w:type="default" r:id="rId16"/>
          <w:pgSz w:w="11906" w:h="16838"/>
          <w:pgMar w:top="1587" w:right="1559" w:bottom="1587" w:left="1559" w:header="851" w:footer="992" w:gutter="0"/>
          <w:pgNumType w:fmt="numberInDash" w:start="1"/>
          <w:cols w:space="720"/>
          <w:docGrid w:type="lines" w:linePitch="312"/>
        </w:sectPr>
      </w:pPr>
      <w:r>
        <w:rPr>
          <w:noProof/>
        </w:rPr>
        <w:drawing>
          <wp:inline distT="0" distB="0" distL="114300" distR="114300">
            <wp:extent cx="5718810" cy="3058160"/>
            <wp:effectExtent l="0" t="0" r="5715" b="889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noProof/>
        </w:rPr>
        <w:lastRenderedPageBreak/>
        <w:drawing>
          <wp:inline distT="0" distB="0" distL="114300" distR="114300">
            <wp:extent cx="5662295" cy="3319145"/>
            <wp:effectExtent l="0" t="0" r="5080" b="5080"/>
            <wp:docPr id="5" name="图片 10" descr="7f6d81db76dbea4cbd3b4a3943f2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7f6d81db76dbea4cbd3b4a3943f215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A33A9B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6"/>
        </w:rPr>
      </w:pPr>
      <w:bookmarkStart w:id="10" w:name="_Toc20665"/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lastRenderedPageBreak/>
        <w:t>申请军事理论、大学体育课程免修流程</w:t>
      </w:r>
      <w:bookmarkEnd w:id="10"/>
    </w:p>
    <w:p w:rsidR="008E5C51" w:rsidRDefault="00A33A9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一、教务系统《军事理论》、《大学体育》课程免修只需完成一个步骤</w:t>
      </w:r>
    </w:p>
    <w:p w:rsidR="008E5C51" w:rsidRDefault="00A33A9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（一）点击报名申请--教学项目报名--点击免修免考的报名--点击确定--勾选军事理论/大学体育--填写原因、上传附件、点击确认。</w:t>
      </w:r>
    </w:p>
    <w:p w:rsidR="008E5C51" w:rsidRDefault="00A33A9B">
      <w:pPr>
        <w:jc w:val="left"/>
        <w:rPr>
          <w:rFonts w:eastAsia="宋体"/>
        </w:rPr>
      </w:pPr>
      <w:r>
        <w:rPr>
          <w:noProof/>
        </w:rPr>
        <w:drawing>
          <wp:inline distT="0" distB="0" distL="114300" distR="114300">
            <wp:extent cx="2456180" cy="4121785"/>
            <wp:effectExtent l="0" t="0" r="1270" b="2540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A33A9B">
      <w:pPr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114300" distR="114300">
            <wp:extent cx="5575935" cy="3408680"/>
            <wp:effectExtent l="0" t="0" r="5715" b="127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660390" cy="3098800"/>
            <wp:effectExtent l="0" t="0" r="6985" b="635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51" w:rsidRDefault="008E5C51">
      <w:pPr>
        <w:rPr>
          <w:rFonts w:eastAsia="宋体"/>
        </w:rPr>
      </w:pPr>
    </w:p>
    <w:p w:rsidR="008E5C51" w:rsidRDefault="008E5C51">
      <w:pPr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</w:p>
    <w:p w:rsidR="008E5C51" w:rsidRDefault="008E5C51">
      <w:pPr>
        <w:spacing w:line="240" w:lineRule="exact"/>
        <w:rPr>
          <w:rFonts w:ascii="仿宋_GB2312" w:eastAsia="仿宋_GB2312" w:hAnsi="微软雅黑"/>
          <w:color w:val="000000"/>
          <w:sz w:val="32"/>
          <w:szCs w:val="32"/>
        </w:rPr>
      </w:pPr>
    </w:p>
    <w:p w:rsidR="008E5C51" w:rsidRDefault="008E5C51">
      <w:pPr>
        <w:spacing w:line="24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</w:p>
    <w:p w:rsidR="008E5C51" w:rsidRDefault="008E5C51">
      <w:pPr>
        <w:spacing w:line="24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</w:p>
    <w:p w:rsidR="008E5C51" w:rsidRDefault="008E5C51">
      <w:pPr>
        <w:spacing w:line="240" w:lineRule="exact"/>
        <w:rPr>
          <w:rFonts w:ascii="仿宋_GB2312" w:eastAsia="仿宋_GB2312" w:hAnsi="微软雅黑"/>
          <w:color w:val="000000"/>
          <w:sz w:val="32"/>
          <w:szCs w:val="32"/>
        </w:rPr>
      </w:pPr>
    </w:p>
    <w:p w:rsidR="008E5C51" w:rsidRDefault="00A33A9B">
      <w:pPr>
        <w:pBdr>
          <w:top w:val="single" w:sz="4" w:space="0" w:color="auto"/>
          <w:bottom w:val="single" w:sz="4" w:space="0" w:color="auto"/>
        </w:pBdr>
        <w:ind w:firstLineChars="100" w:firstLine="28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28"/>
          <w:szCs w:val="28"/>
        </w:rPr>
        <w:t>福州理工学院教务处                      2025年9月15日印发</w:t>
      </w:r>
    </w:p>
    <w:sectPr w:rsidR="008E5C51">
      <w:footerReference w:type="default" r:id="rId19"/>
      <w:pgSz w:w="11906" w:h="16838"/>
      <w:pgMar w:top="1587" w:right="1559" w:bottom="1587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2F" w:rsidRDefault="0001242F">
      <w:r>
        <w:separator/>
      </w:r>
    </w:p>
  </w:endnote>
  <w:endnote w:type="continuationSeparator" w:id="0">
    <w:p w:rsidR="0001242F" w:rsidRDefault="000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51" w:rsidRDefault="00A33A9B">
    <w:pPr>
      <w:pStyle w:val="a4"/>
      <w:tabs>
        <w:tab w:val="clear" w:pos="4153"/>
        <w:tab w:val="left" w:pos="57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E5C51" w:rsidRDefault="00A33A9B">
                          <w:pPr>
                            <w:pStyle w:val="a4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B0CBE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OglGF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8E5C51" w:rsidRDefault="00A33A9B">
                    <w:pPr>
                      <w:pStyle w:val="a4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BB0CBE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51" w:rsidRDefault="00A33A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C51" w:rsidRDefault="00A33A9B">
                          <w:pPr>
                            <w:pStyle w:val="a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BB0CBE">
                            <w:rPr>
                              <w:rFonts w:ascii="宋体" w:hAnsi="宋体"/>
                              <w:noProof/>
                              <w:sz w:val="28"/>
                            </w:rPr>
                            <w:t>- 10 -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E5C51" w:rsidRDefault="00A33A9B">
                    <w:pPr>
                      <w:pStyle w:val="a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BB0CBE">
                      <w:rPr>
                        <w:rFonts w:ascii="宋体" w:hAnsi="宋体"/>
                        <w:noProof/>
                        <w:sz w:val="28"/>
                      </w:rPr>
                      <w:t>- 10 -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2F" w:rsidRDefault="0001242F">
      <w:r>
        <w:separator/>
      </w:r>
    </w:p>
  </w:footnote>
  <w:footnote w:type="continuationSeparator" w:id="0">
    <w:p w:rsidR="0001242F" w:rsidRDefault="0001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0C829C"/>
    <w:multiLevelType w:val="singleLevel"/>
    <w:tmpl w:val="830C82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ODc5Y2I0MDM2ODI3YjE2NTM3NDU4YjEwNjc0ZmIifQ=="/>
  </w:docVars>
  <w:rsids>
    <w:rsidRoot w:val="006C4117"/>
    <w:rsid w:val="0001242F"/>
    <w:rsid w:val="001A7040"/>
    <w:rsid w:val="0026082F"/>
    <w:rsid w:val="002E0088"/>
    <w:rsid w:val="0034247E"/>
    <w:rsid w:val="005119F2"/>
    <w:rsid w:val="006C4117"/>
    <w:rsid w:val="006D61E3"/>
    <w:rsid w:val="008E5C51"/>
    <w:rsid w:val="009634BD"/>
    <w:rsid w:val="009E434B"/>
    <w:rsid w:val="00A33A9B"/>
    <w:rsid w:val="00B20E4A"/>
    <w:rsid w:val="00B27E28"/>
    <w:rsid w:val="00BA08AC"/>
    <w:rsid w:val="00BB0CBE"/>
    <w:rsid w:val="00DE00A3"/>
    <w:rsid w:val="00E0063D"/>
    <w:rsid w:val="00EB0439"/>
    <w:rsid w:val="00F1329C"/>
    <w:rsid w:val="059A3C03"/>
    <w:rsid w:val="0B3A3EBE"/>
    <w:rsid w:val="10C07307"/>
    <w:rsid w:val="112A6EE1"/>
    <w:rsid w:val="118F14CA"/>
    <w:rsid w:val="129D78DE"/>
    <w:rsid w:val="1A3C408E"/>
    <w:rsid w:val="1B3F4E71"/>
    <w:rsid w:val="1C6A2129"/>
    <w:rsid w:val="1F5B1F47"/>
    <w:rsid w:val="22B47CF4"/>
    <w:rsid w:val="31D91974"/>
    <w:rsid w:val="337B4EF0"/>
    <w:rsid w:val="34CC3529"/>
    <w:rsid w:val="37AB4ABF"/>
    <w:rsid w:val="3A3D1086"/>
    <w:rsid w:val="3AB4121B"/>
    <w:rsid w:val="4060261F"/>
    <w:rsid w:val="419D2BCF"/>
    <w:rsid w:val="46BE6485"/>
    <w:rsid w:val="47CC243B"/>
    <w:rsid w:val="54F914C2"/>
    <w:rsid w:val="56C6749A"/>
    <w:rsid w:val="576A4CCB"/>
    <w:rsid w:val="585B3806"/>
    <w:rsid w:val="5AA82B05"/>
    <w:rsid w:val="5C5C3190"/>
    <w:rsid w:val="62E47BEE"/>
    <w:rsid w:val="688C496D"/>
    <w:rsid w:val="6DD57E57"/>
    <w:rsid w:val="725E2EB8"/>
    <w:rsid w:val="7BC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DA279-C870-4F6A-AEBC-4AB25C27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First Indent"/>
    <w:basedOn w:val="a3"/>
    <w:qFormat/>
    <w:pPr>
      <w:ind w:firstLineChars="100" w:firstLine="420"/>
    </w:p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1030</Characters>
  <Application>Microsoft Office Word</Application>
  <DocSecurity>0</DocSecurity>
  <Lines>8</Lines>
  <Paragraphs>2</Paragraphs>
  <ScaleCrop>false</ScaleCrop>
  <Company>WORKGROUP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User</cp:lastModifiedBy>
  <cp:revision>4</cp:revision>
  <cp:lastPrinted>2025-09-16T07:38:00Z</cp:lastPrinted>
  <dcterms:created xsi:type="dcterms:W3CDTF">2022-08-21T01:44:00Z</dcterms:created>
  <dcterms:modified xsi:type="dcterms:W3CDTF">2025-09-16T07:38:00Z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F931175187864E25A71C472DEB6EAB3E_13</vt:lpwstr>
  </property>
  <property fmtid="{D5CDD505-2E9C-101B-9397-08002B2CF9AE}" pid="4" name="KSOTemplateDocerSaveRecord">
    <vt:lpwstr>eyJoZGlkIjoiZmU5NDVjMzM1YjdiMTRjNjNiOWM3YmNmMTE5Y2FkZjgiLCJ1c2VySWQiOiIxMTI5Njc4Mjc1In0=</vt:lpwstr>
  </property>
</Properties>
</file>