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left="789" w:right="55" w:rightChars="26" w:hanging="863" w:hangingChars="86"/>
        <w:jc w:val="distribute"/>
        <w:rPr>
          <w:rFonts w:hint="eastAsia" w:hAnsi="华文仿宋"/>
          <w:color w:val="FFFFFF"/>
          <w:szCs w:val="21"/>
        </w:rPr>
      </w:pPr>
      <w:bookmarkStart w:id="0" w:name="_Toc499804012"/>
      <w:r>
        <w:rPr>
          <w:rFonts w:ascii="Bookman Old Style" w:hAnsi="Bookman Old Style"/>
          <w:b/>
          <w:color w:val="FF0000"/>
          <w:spacing w:val="50"/>
          <w:w w:val="90"/>
          <w:sz w:val="100"/>
        </w:rPr>
        <w:pict>
          <v:line id="直接连接符 2" o:spid="_x0000_s2053" o:spt="20" style="position:absolute;left:0pt;margin-left:-15.55pt;margin-top:77.4pt;height:0pt;width:443.25pt;z-index:251658240;mso-width-relative:page;mso-height-relative:page;" filled="f" stroked="t" coordsize="21600,21600" o:gfxdata="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EA3qf1QAAAAsBAAAP&#10;AAAAAAAAAAEAIAAAACIAAABkcnMvZG93bnJldi54bWxQSwECFAAUAAAACACHTuJAYGsbD+IBAACd&#10;AwAADgAAAAAAAAABACAAAAAkAQAAZHJzL2Uyb0RvYy54bWxQSwUGAAAAAAYABgBZAQAAeAUAAAAA&#10;">
            <v:path arrowok="t"/>
            <v:fill on="f" focussize="0,0"/>
            <v:stroke weight="4.5pt" color="#FF0000" linestyle="thickThin" joinstyle="round"/>
            <v:imagedata o:title=""/>
            <o:lock v:ext="edit" aspectratio="f"/>
          </v:line>
        </w:pict>
      </w:r>
      <w:r>
        <w:rPr>
          <w:rFonts w:hint="eastAsia" w:ascii="宋体" w:hAnsi="宋体"/>
          <w:b/>
          <w:color w:val="FF0000"/>
          <w:spacing w:val="22"/>
          <w:w w:val="90"/>
          <w:kern w:val="15"/>
          <w:sz w:val="96"/>
          <w:szCs w:val="88"/>
        </w:rPr>
        <w:t>福建省教育厅</w:t>
      </w:r>
      <w:r>
        <w:rPr>
          <w:rFonts w:hint="eastAsia" w:hAnsi="华文仿宋"/>
          <w:color w:val="FFFFFF"/>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华文仿宋" w:eastAsia="仿宋_GB2312"/>
          <w:sz w:val="32"/>
          <w:szCs w:val="32"/>
        </w:rPr>
      </w:pPr>
      <w:r>
        <w:rPr>
          <w:rFonts w:hint="eastAsia" w:hAnsi="华文仿宋"/>
          <w:sz w:val="32"/>
          <w:szCs w:val="32"/>
        </w:rPr>
        <w:t xml:space="preserve">                                </w:t>
      </w:r>
      <w:r>
        <w:rPr>
          <w:rFonts w:hint="eastAsia" w:ascii="仿宋_GB2312" w:hAnsi="华文仿宋" w:eastAsia="仿宋_GB2312"/>
          <w:sz w:val="32"/>
          <w:szCs w:val="32"/>
        </w:rPr>
        <w:t>闽教体函〔201</w:t>
      </w:r>
      <w:r>
        <w:rPr>
          <w:rFonts w:hint="eastAsia" w:ascii="仿宋_GB2312" w:hAnsi="华文仿宋" w:eastAsia="仿宋_GB2312"/>
          <w:sz w:val="32"/>
          <w:szCs w:val="32"/>
          <w:lang w:val="en-US" w:eastAsia="zh-CN"/>
        </w:rPr>
        <w:t>8</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49</w:t>
      </w:r>
      <w:r>
        <w:rPr>
          <w:rFonts w:hint="eastAsia" w:ascii="仿宋_GB2312" w:hAnsi="华文仿宋" w:eastAsia="仿宋_GB2312"/>
          <w:sz w:val="32"/>
          <w:szCs w:val="32"/>
        </w:rPr>
        <w:t>号</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华文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both"/>
        <w:textAlignment w:val="auto"/>
        <w:outlineLvl w:val="9"/>
        <w:rPr>
          <w:rFonts w:hint="eastAsia" w:eastAsia="方正小标宋简体"/>
          <w:kern w:val="0"/>
          <w:sz w:val="44"/>
          <w:szCs w:val="44"/>
        </w:rPr>
      </w:pPr>
      <w:r>
        <w:rPr>
          <w:rFonts w:hint="eastAsia" w:eastAsia="方正小标宋简体"/>
          <w:kern w:val="0"/>
          <w:sz w:val="44"/>
          <w:szCs w:val="44"/>
        </w:rPr>
        <w:t>关于做好全省普通高校美育工作发展</w:t>
      </w:r>
    </w:p>
    <w:p>
      <w:pPr>
        <w:spacing w:line="600" w:lineRule="exact"/>
        <w:ind w:firstLine="2640" w:firstLineChars="600"/>
        <w:jc w:val="both"/>
        <w:rPr>
          <w:rFonts w:eastAsia="方正小标宋简体"/>
          <w:kern w:val="0"/>
          <w:sz w:val="44"/>
          <w:szCs w:val="44"/>
        </w:rPr>
      </w:pPr>
      <w:r>
        <w:rPr>
          <w:rFonts w:hint="eastAsia" w:eastAsia="方正小标宋简体"/>
          <w:kern w:val="0"/>
          <w:sz w:val="44"/>
          <w:szCs w:val="44"/>
        </w:rPr>
        <w:t>年度调查的通知</w:t>
      </w:r>
    </w:p>
    <w:p>
      <w:pPr>
        <w:jc w:val="center"/>
        <w:rPr>
          <w:b/>
          <w:kern w:val="0"/>
          <w:sz w:val="44"/>
          <w:szCs w:val="44"/>
        </w:rPr>
      </w:pPr>
    </w:p>
    <w:p>
      <w:pPr>
        <w:spacing w:line="520" w:lineRule="exact"/>
        <w:rPr>
          <w:rFonts w:ascii="仿宋_GB2312" w:eastAsia="仿宋_GB2312"/>
          <w:kern w:val="0"/>
          <w:sz w:val="32"/>
          <w:szCs w:val="32"/>
        </w:rPr>
      </w:pPr>
      <w:r>
        <w:rPr>
          <w:rFonts w:hint="eastAsia" w:ascii="仿宋_GB2312" w:eastAsia="仿宋_GB2312"/>
          <w:kern w:val="0"/>
          <w:sz w:val="32"/>
          <w:szCs w:val="32"/>
        </w:rPr>
        <w:t>各高等院校：</w:t>
      </w:r>
    </w:p>
    <w:p>
      <w:pPr>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为贯彻落实《国务院办公厅关于全面加强和改进学校美育工作的意见》（国办发〔2015〕71号）和《福建省人民政府办公厅关于全面加强和改进学校美育工作的实施意见》（闽政办〔2016〕69号）精神，全面了解并持续跟踪我省普通高校美育工作发展情况，</w:t>
      </w:r>
      <w:r>
        <w:rPr>
          <w:rFonts w:hint="eastAsia" w:ascii="仿宋_GB2312" w:eastAsia="仿宋_GB2312"/>
          <w:kern w:val="0"/>
          <w:sz w:val="32"/>
          <w:szCs w:val="32"/>
          <w:lang w:eastAsia="zh-CN"/>
        </w:rPr>
        <w:t>今年继续</w:t>
      </w:r>
      <w:r>
        <w:rPr>
          <w:rFonts w:hint="eastAsia" w:ascii="仿宋_GB2312" w:eastAsia="仿宋_GB2312"/>
          <w:kern w:val="0"/>
          <w:sz w:val="32"/>
          <w:szCs w:val="32"/>
        </w:rPr>
        <w:t>开展高校美育工作发展年度调查工作。现将有关事项通知如下：</w:t>
      </w:r>
    </w:p>
    <w:p>
      <w:pPr>
        <w:spacing w:line="520" w:lineRule="exact"/>
        <w:ind w:firstLine="640" w:firstLineChars="200"/>
        <w:rPr>
          <w:rFonts w:ascii="黑体" w:eastAsia="黑体"/>
          <w:kern w:val="0"/>
          <w:sz w:val="32"/>
          <w:szCs w:val="32"/>
        </w:rPr>
      </w:pPr>
      <w:r>
        <w:rPr>
          <w:rFonts w:hint="eastAsia" w:ascii="黑体" w:eastAsia="黑体"/>
          <w:kern w:val="0"/>
          <w:sz w:val="32"/>
          <w:szCs w:val="32"/>
        </w:rPr>
        <w:t>一、调查对象</w:t>
      </w: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全省普通高校。</w:t>
      </w:r>
    </w:p>
    <w:p>
      <w:pPr>
        <w:spacing w:line="520" w:lineRule="exact"/>
        <w:ind w:firstLine="640" w:firstLineChars="200"/>
        <w:rPr>
          <w:rFonts w:ascii="黑体" w:eastAsia="黑体"/>
          <w:kern w:val="0"/>
          <w:sz w:val="32"/>
          <w:szCs w:val="32"/>
        </w:rPr>
      </w:pPr>
      <w:r>
        <w:rPr>
          <w:rFonts w:hint="eastAsia" w:ascii="黑体" w:eastAsia="黑体"/>
          <w:kern w:val="0"/>
          <w:sz w:val="32"/>
          <w:szCs w:val="32"/>
        </w:rPr>
        <w:t>二、调查时间</w:t>
      </w: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201</w:t>
      </w:r>
      <w:r>
        <w:rPr>
          <w:rFonts w:hint="eastAsia" w:ascii="仿宋_GB2312" w:eastAsia="仿宋_GB2312"/>
          <w:kern w:val="0"/>
          <w:sz w:val="32"/>
          <w:szCs w:val="32"/>
          <w:lang w:val="en-US" w:eastAsia="zh-CN"/>
        </w:rPr>
        <w:t>8</w:t>
      </w:r>
      <w:r>
        <w:rPr>
          <w:rFonts w:hint="eastAsia" w:ascii="仿宋_GB2312" w:eastAsia="仿宋_GB2312"/>
          <w:kern w:val="0"/>
          <w:sz w:val="32"/>
          <w:szCs w:val="32"/>
        </w:rPr>
        <w:t>年12月</w:t>
      </w:r>
      <w:r>
        <w:rPr>
          <w:rFonts w:hint="eastAsia" w:ascii="仿宋_GB2312" w:eastAsia="仿宋_GB2312"/>
          <w:kern w:val="0"/>
          <w:sz w:val="32"/>
          <w:szCs w:val="32"/>
          <w:lang w:val="en-US" w:eastAsia="zh-CN"/>
        </w:rPr>
        <w:t>4</w:t>
      </w:r>
      <w:r>
        <w:rPr>
          <w:rFonts w:hint="eastAsia" w:ascii="仿宋_GB2312" w:eastAsia="仿宋_GB2312"/>
          <w:kern w:val="0"/>
          <w:sz w:val="32"/>
          <w:szCs w:val="32"/>
        </w:rPr>
        <w:t>日－12月1</w:t>
      </w:r>
      <w:r>
        <w:rPr>
          <w:rFonts w:hint="eastAsia" w:ascii="仿宋_GB2312" w:eastAsia="仿宋_GB2312"/>
          <w:kern w:val="0"/>
          <w:sz w:val="32"/>
          <w:szCs w:val="32"/>
          <w:lang w:val="en-US" w:eastAsia="zh-CN"/>
        </w:rPr>
        <w:t>2</w:t>
      </w:r>
      <w:r>
        <w:rPr>
          <w:rFonts w:hint="eastAsia" w:ascii="仿宋_GB2312" w:eastAsia="仿宋_GB2312"/>
          <w:kern w:val="0"/>
          <w:sz w:val="32"/>
          <w:szCs w:val="32"/>
        </w:rPr>
        <w:t>日</w:t>
      </w:r>
      <w:r>
        <w:rPr>
          <w:rFonts w:hint="eastAsia" w:ascii="仿宋_GB2312" w:eastAsia="仿宋_GB2312"/>
          <w:kern w:val="0"/>
          <w:sz w:val="32"/>
          <w:szCs w:val="32"/>
          <w:lang w:eastAsia="zh-CN"/>
        </w:rPr>
        <w:t>。</w:t>
      </w:r>
    </w:p>
    <w:p>
      <w:pPr>
        <w:spacing w:line="520" w:lineRule="exact"/>
        <w:ind w:firstLine="640" w:firstLineChars="200"/>
        <w:rPr>
          <w:rFonts w:ascii="黑体" w:eastAsia="黑体"/>
          <w:kern w:val="0"/>
          <w:sz w:val="32"/>
          <w:szCs w:val="32"/>
        </w:rPr>
      </w:pPr>
      <w:r>
        <w:rPr>
          <w:rFonts w:hint="eastAsia" w:ascii="黑体" w:eastAsia="黑体"/>
          <w:kern w:val="0"/>
          <w:sz w:val="32"/>
          <w:szCs w:val="32"/>
        </w:rPr>
        <w:t>三、调查内容</w:t>
      </w: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根据教育部对学校艺术教育发展年度报告的要求和有关学校美育工作文件精神，结合我省学校美育工作发展</w:t>
      </w:r>
      <w:r>
        <w:rPr>
          <w:rFonts w:hint="eastAsia" w:ascii="仿宋_GB2312" w:eastAsia="仿宋_GB2312"/>
          <w:kern w:val="0"/>
          <w:sz w:val="32"/>
          <w:szCs w:val="32"/>
          <w:lang w:eastAsia="zh-CN"/>
        </w:rPr>
        <w:t>情况</w:t>
      </w:r>
      <w:r>
        <w:rPr>
          <w:rFonts w:hint="eastAsia" w:ascii="仿宋_GB2312" w:eastAsia="仿宋_GB2312"/>
          <w:kern w:val="0"/>
          <w:sz w:val="32"/>
          <w:szCs w:val="32"/>
        </w:rPr>
        <w:t>，对各高校面向全校学生开展的美育工作进行相关内容的调查，具体框架要点、指标体系、数据采集详见附件。</w:t>
      </w:r>
    </w:p>
    <w:p>
      <w:pPr>
        <w:spacing w:line="520" w:lineRule="exact"/>
        <w:ind w:firstLine="640" w:firstLineChars="200"/>
        <w:rPr>
          <w:rFonts w:hint="eastAsia" w:ascii="黑体" w:eastAsia="黑体"/>
          <w:kern w:val="0"/>
          <w:sz w:val="32"/>
          <w:szCs w:val="32"/>
        </w:rPr>
      </w:pPr>
      <w:r>
        <w:rPr>
          <w:rFonts w:hint="eastAsia" w:ascii="宋体" w:hAnsi="宋体"/>
          <w:color w:val="FFFFFF"/>
          <w:sz w:val="32"/>
          <w:szCs w:val="32"/>
        </w:rPr>
        <w:pict>
          <v:line id="直接连接符 1" o:spid="_x0000_s2054" o:spt="20" style="position:absolute;left:0pt;flip:y;margin-left:-0.55pt;margin-top:28.6pt;height:0pt;width:423pt;z-index:251660288;mso-width-relative:page;mso-height-relative:page;" filled="f" stroked="t" coordsize="21600,21600" o:gfxdata="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OWF82AAAAAoBAAAPAAAAAAAAAAEAIAAAACIAAABkcnMvZG93bnJldi54bWxQSwEC&#10;FAAUAAAACACHTuJA8mZXJfQBAACzAwAADgAAAAAAAAABACAAAAAnAQAAZHJzL2Uyb0RvYy54bWxQ&#10;SwUGAAAAAAYABgBZAQAAjQUAAAAA&#10;">
            <v:path arrowok="t"/>
            <v:fill on="f" focussize="0,0"/>
            <v:stroke weight="4.5pt" color="#FF0000" linestyle="thickThin" joinstyle="round"/>
            <v:imagedata o:title=""/>
            <o:lock v:ext="edit" aspectratio="f"/>
          </v:line>
        </w:pict>
      </w:r>
    </w:p>
    <w:p>
      <w:pPr>
        <w:spacing w:line="520" w:lineRule="exact"/>
        <w:ind w:firstLine="640" w:firstLineChars="200"/>
        <w:rPr>
          <w:rFonts w:ascii="黑体" w:eastAsia="黑体"/>
          <w:kern w:val="0"/>
          <w:sz w:val="32"/>
          <w:szCs w:val="32"/>
        </w:rPr>
      </w:pPr>
      <w:r>
        <w:rPr>
          <w:rFonts w:hint="eastAsia" w:ascii="黑体" w:eastAsia="黑体"/>
          <w:kern w:val="0"/>
          <w:sz w:val="32"/>
          <w:szCs w:val="32"/>
        </w:rPr>
        <w:t>四、有关要求</w:t>
      </w: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（一）各高校应高度重视，明确责任部门和联系人，精心组织，防止漏报、虚报现象发生。</w:t>
      </w: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（二）各高校要深入学习国家、教育部和我省关于高校开展美育工作的相关文件精神，重点围绕本次调查内容和指标体系，并参照提供的年度报告框架要点</w:t>
      </w:r>
      <w:r>
        <w:rPr>
          <w:rFonts w:hint="eastAsia" w:ascii="仿宋_GB2312" w:eastAsia="仿宋_GB2312"/>
          <w:kern w:val="0"/>
          <w:sz w:val="32"/>
          <w:szCs w:val="32"/>
          <w:lang w:eastAsia="zh-CN"/>
        </w:rPr>
        <w:t>，</w:t>
      </w:r>
      <w:r>
        <w:rPr>
          <w:rFonts w:hint="eastAsia" w:ascii="仿宋_GB2312" w:eastAsia="仿宋_GB2312"/>
          <w:kern w:val="0"/>
          <w:sz w:val="32"/>
          <w:szCs w:val="32"/>
        </w:rPr>
        <w:t>进行本校</w:t>
      </w:r>
      <w:r>
        <w:rPr>
          <w:rFonts w:hint="eastAsia" w:ascii="仿宋_GB2312" w:eastAsia="仿宋_GB2312"/>
          <w:kern w:val="0"/>
          <w:sz w:val="32"/>
          <w:szCs w:val="32"/>
          <w:lang w:eastAsia="zh-CN"/>
        </w:rPr>
        <w:t>美育</w:t>
      </w:r>
      <w:r>
        <w:rPr>
          <w:rFonts w:hint="eastAsia" w:ascii="仿宋_GB2312" w:eastAsia="仿宋_GB2312"/>
          <w:kern w:val="0"/>
          <w:sz w:val="32"/>
          <w:szCs w:val="32"/>
        </w:rPr>
        <w:t xml:space="preserve">年度报告编制，并指定专人认真填报本次调查数据采集表（附件3）。    </w:t>
      </w: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（三）《高校美育工作发展年度报告》和《福建省普通高校美育工作发展年度报告数据采集表》（共</w:t>
      </w:r>
      <w:r>
        <w:rPr>
          <w:rFonts w:hint="eastAsia" w:ascii="仿宋_GB2312" w:eastAsia="仿宋_GB2312"/>
          <w:kern w:val="0"/>
          <w:sz w:val="32"/>
          <w:szCs w:val="32"/>
          <w:lang w:val="en-US" w:eastAsia="zh-CN"/>
        </w:rPr>
        <w:t>11</w:t>
      </w:r>
      <w:r>
        <w:rPr>
          <w:rFonts w:hint="eastAsia" w:ascii="仿宋_GB2312" w:eastAsia="仿宋_GB2312"/>
          <w:kern w:val="0"/>
          <w:sz w:val="32"/>
          <w:szCs w:val="32"/>
        </w:rPr>
        <w:t>张），请于12月</w:t>
      </w:r>
      <w:r>
        <w:rPr>
          <w:rFonts w:hint="eastAsia" w:ascii="仿宋_GB2312" w:eastAsia="仿宋_GB2312"/>
          <w:kern w:val="0"/>
          <w:sz w:val="32"/>
          <w:szCs w:val="32"/>
          <w:lang w:val="en-US" w:eastAsia="zh-CN"/>
        </w:rPr>
        <w:t>12</w:t>
      </w:r>
      <w:r>
        <w:rPr>
          <w:rFonts w:hint="eastAsia" w:ascii="仿宋_GB2312" w:eastAsia="仿宋_GB2312"/>
          <w:kern w:val="0"/>
          <w:sz w:val="32"/>
          <w:szCs w:val="32"/>
        </w:rPr>
        <w:t>日前将电子版发</w:t>
      </w:r>
      <w:r>
        <w:rPr>
          <w:rFonts w:hint="eastAsia" w:ascii="仿宋_GB2312" w:eastAsia="仿宋_GB2312"/>
          <w:kern w:val="0"/>
          <w:sz w:val="32"/>
          <w:szCs w:val="32"/>
          <w:lang w:eastAsia="zh-CN"/>
        </w:rPr>
        <w:t>至</w:t>
      </w:r>
      <w:r>
        <w:rPr>
          <w:rFonts w:hint="eastAsia" w:ascii="仿宋_GB2312" w:eastAsia="仿宋_GB2312"/>
          <w:kern w:val="0"/>
          <w:sz w:val="32"/>
          <w:szCs w:val="32"/>
        </w:rPr>
        <w:t>邮箱974071653@qq.com，同时将盖章纸质版报送我厅体卫艺语处。本次调查的指标体系以及数据采集由省教育评估研究中心负责解释。</w:t>
      </w: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（四）为便于沟通联系，请各高校负责该项工作的联系人加入数据采集交流群（QQ群号：593151584）。</w:t>
      </w: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福建省教育厅体卫艺语处联系人：林裕添，联系电话：0591-87091630；</w:t>
      </w: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福建省教育评估研究中心联系人：徐宇峰，联系电话： 0591-87091247 。</w:t>
      </w:r>
    </w:p>
    <w:p>
      <w:pPr>
        <w:spacing w:line="520" w:lineRule="exact"/>
        <w:ind w:firstLine="640" w:firstLineChars="200"/>
        <w:rPr>
          <w:rFonts w:hint="eastAsia" w:ascii="仿宋_GB2312" w:eastAsia="仿宋_GB2312"/>
          <w:kern w:val="0"/>
          <w:sz w:val="32"/>
          <w:szCs w:val="32"/>
        </w:rPr>
      </w:pPr>
    </w:p>
    <w:p>
      <w:pPr>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附件：1.XXX高校美育工作发展年度报告框架要点</w:t>
      </w:r>
    </w:p>
    <w:p>
      <w:pPr>
        <w:spacing w:line="520" w:lineRule="exact"/>
        <w:ind w:left="1918" w:leftChars="304" w:hanging="1280" w:hangingChars="400"/>
        <w:rPr>
          <w:rFonts w:hint="eastAsia" w:ascii="仿宋_GB2312" w:eastAsia="仿宋_GB2312"/>
          <w:kern w:val="0"/>
          <w:sz w:val="32"/>
          <w:szCs w:val="32"/>
        </w:rPr>
      </w:pP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 xml:space="preserve">   </w:t>
      </w:r>
      <w:r>
        <w:rPr>
          <w:rFonts w:hint="eastAsia" w:ascii="仿宋_GB2312" w:eastAsia="仿宋_GB2312"/>
          <w:kern w:val="0"/>
          <w:sz w:val="32"/>
          <w:szCs w:val="32"/>
        </w:rPr>
        <w:t xml:space="preserve"> 2.福建普通高校美育工作发展年度报告指标体系（试行）</w:t>
      </w:r>
    </w:p>
    <w:p>
      <w:pPr>
        <w:numPr>
          <w:ilvl w:val="0"/>
          <w:numId w:val="1"/>
        </w:numPr>
        <w:spacing w:line="520" w:lineRule="exact"/>
        <w:ind w:left="2236" w:leftChars="760" w:hanging="640" w:hangingChars="200"/>
        <w:rPr>
          <w:rFonts w:hint="eastAsia" w:ascii="仿宋_GB2312" w:eastAsia="仿宋_GB2312"/>
          <w:kern w:val="0"/>
          <w:sz w:val="32"/>
          <w:szCs w:val="32"/>
        </w:rPr>
      </w:pPr>
      <w:r>
        <w:rPr>
          <w:rFonts w:hint="eastAsia" w:ascii="仿宋_GB2312" w:eastAsia="仿宋_GB2312"/>
          <w:kern w:val="0"/>
          <w:sz w:val="32"/>
          <w:szCs w:val="32"/>
        </w:rPr>
        <w:t>福建省普通高校美育工作发展年度报告数据采</w:t>
      </w:r>
    </w:p>
    <w:p>
      <w:pPr>
        <w:numPr>
          <w:ilvl w:val="0"/>
          <w:numId w:val="0"/>
        </w:numPr>
        <w:spacing w:line="520" w:lineRule="exact"/>
        <w:ind w:left="1174" w:leftChars="559" w:firstLine="723" w:firstLineChars="226"/>
        <w:rPr>
          <w:rFonts w:hint="eastAsia" w:ascii="仿宋_GB2312" w:eastAsia="仿宋_GB2312"/>
          <w:kern w:val="0"/>
          <w:sz w:val="32"/>
          <w:szCs w:val="32"/>
        </w:rPr>
      </w:pPr>
      <w:r>
        <w:rPr>
          <w:rFonts w:hint="eastAsia" w:ascii="仿宋_GB2312" w:eastAsia="仿宋_GB2312"/>
          <w:kern w:val="0"/>
          <w:sz w:val="32"/>
          <w:szCs w:val="32"/>
        </w:rPr>
        <w:t>集表</w:t>
      </w:r>
    </w:p>
    <w:p>
      <w:pPr>
        <w:spacing w:line="520" w:lineRule="exact"/>
        <w:ind w:firstLine="640" w:firstLineChars="200"/>
        <w:rPr>
          <w:rFonts w:hint="eastAsia" w:ascii="仿宋_GB2312" w:eastAsia="仿宋_GB2312"/>
          <w:kern w:val="0"/>
          <w:sz w:val="32"/>
          <w:szCs w:val="32"/>
        </w:rPr>
      </w:pPr>
    </w:p>
    <w:p>
      <w:pPr>
        <w:spacing w:line="520" w:lineRule="exact"/>
        <w:ind w:firstLine="1920" w:firstLineChars="600"/>
        <w:rPr>
          <w:rFonts w:hint="eastAsia" w:ascii="仿宋_GB2312" w:eastAsia="仿宋_GB2312"/>
          <w:kern w:val="0"/>
          <w:sz w:val="32"/>
          <w:szCs w:val="32"/>
        </w:rPr>
      </w:pPr>
      <w:r>
        <w:rPr>
          <w:rFonts w:hint="eastAsia" w:ascii="仿宋_GB2312" w:eastAsia="仿宋_GB2312"/>
          <w:kern w:val="0"/>
          <w:sz w:val="32"/>
          <w:szCs w:val="32"/>
        </w:rPr>
        <w:t>福建省教育厅体育卫生艺术教育与语言文字处</w:t>
      </w:r>
    </w:p>
    <w:p>
      <w:pPr>
        <w:spacing w:line="520" w:lineRule="exact"/>
        <w:ind w:firstLine="4480" w:firstLineChars="1400"/>
        <w:rPr>
          <w:rFonts w:ascii="仿宋_GB2312" w:eastAsia="仿宋_GB2312"/>
          <w:kern w:val="0"/>
          <w:sz w:val="30"/>
          <w:szCs w:val="30"/>
        </w:rPr>
      </w:pPr>
      <w:r>
        <w:rPr>
          <w:rFonts w:hint="eastAsia" w:ascii="仿宋_GB2312" w:eastAsia="仿宋_GB2312"/>
          <w:kern w:val="0"/>
          <w:sz w:val="32"/>
          <w:szCs w:val="32"/>
        </w:rPr>
        <w:t>201</w:t>
      </w:r>
      <w:r>
        <w:rPr>
          <w:rFonts w:hint="eastAsia" w:ascii="仿宋_GB2312" w:eastAsia="仿宋_GB2312"/>
          <w:kern w:val="0"/>
          <w:sz w:val="32"/>
          <w:szCs w:val="32"/>
          <w:lang w:val="en-US" w:eastAsia="zh-CN"/>
        </w:rPr>
        <w:t>8</w:t>
      </w:r>
      <w:r>
        <w:rPr>
          <w:rFonts w:hint="eastAsia" w:ascii="仿宋_GB2312" w:eastAsia="仿宋_GB2312"/>
          <w:kern w:val="0"/>
          <w:sz w:val="32"/>
          <w:szCs w:val="32"/>
        </w:rPr>
        <w:t>年12月</w:t>
      </w:r>
      <w:r>
        <w:rPr>
          <w:rFonts w:hint="eastAsia" w:ascii="仿宋_GB2312" w:eastAsia="仿宋_GB2312"/>
          <w:kern w:val="0"/>
          <w:sz w:val="32"/>
          <w:szCs w:val="32"/>
          <w:lang w:val="en-US" w:eastAsia="zh-CN"/>
        </w:rPr>
        <w:t>4</w:t>
      </w:r>
      <w:r>
        <w:rPr>
          <w:rFonts w:hint="eastAsia" w:ascii="仿宋_GB2312" w:eastAsia="仿宋_GB2312"/>
          <w:kern w:val="0"/>
          <w:sz w:val="32"/>
          <w:szCs w:val="32"/>
        </w:rPr>
        <w:t>日</w:t>
      </w:r>
    </w:p>
    <w:p>
      <w:pPr>
        <w:widowControl/>
        <w:jc w:val="left"/>
        <w:rPr>
          <w:rFonts w:ascii="仿宋_GB2312" w:eastAsia="仿宋_GB2312"/>
          <w:sz w:val="30"/>
          <w:szCs w:val="30"/>
        </w:rPr>
      </w:pPr>
      <w:r>
        <w:rPr>
          <w:rFonts w:ascii="仿宋_GB2312" w:eastAsia="仿宋_GB2312"/>
          <w:kern w:val="0"/>
          <w:sz w:val="30"/>
          <w:szCs w:val="30"/>
        </w:rPr>
        <w:br w:type="page"/>
      </w:r>
    </w:p>
    <w:p>
      <w:pPr>
        <w:rPr>
          <w:rFonts w:hint="eastAsia" w:ascii="黑体" w:hAnsi="黑体" w:eastAsia="黑体" w:cs="黑体"/>
          <w:kern w:val="0"/>
          <w:sz w:val="30"/>
          <w:szCs w:val="30"/>
        </w:rPr>
      </w:pPr>
      <w:r>
        <w:rPr>
          <w:rFonts w:hint="eastAsia" w:ascii="黑体" w:hAnsi="黑体" w:eastAsia="黑体" w:cs="黑体"/>
          <w:kern w:val="0"/>
          <w:sz w:val="30"/>
          <w:szCs w:val="30"/>
        </w:rPr>
        <w:t>附件1</w:t>
      </w:r>
    </w:p>
    <w:p>
      <w:pPr>
        <w:jc w:val="center"/>
        <w:rPr>
          <w:rFonts w:asciiTheme="minorEastAsia" w:hAnsiTheme="minorEastAsia"/>
          <w:b/>
          <w:kern w:val="0"/>
          <w:sz w:val="36"/>
          <w:szCs w:val="36"/>
        </w:rPr>
      </w:pPr>
      <w:r>
        <w:rPr>
          <w:rFonts w:hint="eastAsia" w:asciiTheme="minorEastAsia" w:hAnsiTheme="minorEastAsia"/>
          <w:b/>
          <w:kern w:val="0"/>
          <w:sz w:val="36"/>
          <w:szCs w:val="36"/>
        </w:rPr>
        <w:t>XXX高校美育工作发展年度报告</w:t>
      </w:r>
    </w:p>
    <w:p>
      <w:pPr>
        <w:jc w:val="center"/>
        <w:rPr>
          <w:rFonts w:ascii="黑体" w:hAnsi="黑体" w:eastAsia="黑体"/>
          <w:b/>
          <w:kern w:val="0"/>
          <w:sz w:val="32"/>
          <w:szCs w:val="32"/>
        </w:rPr>
      </w:pPr>
      <w:r>
        <w:rPr>
          <w:rFonts w:hint="eastAsia" w:asciiTheme="minorEastAsia" w:hAnsiTheme="minorEastAsia"/>
          <w:b/>
          <w:kern w:val="0"/>
          <w:sz w:val="36"/>
          <w:szCs w:val="36"/>
        </w:rPr>
        <w:t>框架要点</w:t>
      </w: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一、前言</w:t>
      </w:r>
    </w:p>
    <w:p>
      <w:pPr>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二、美育工作发展概况及亮点工作</w:t>
      </w:r>
    </w:p>
    <w:p>
      <w:pPr>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三、美育工作发展理念和定位</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（一）人才培养目标定位中的美育规格</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（二）十三五规划中美育发展战略</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（三）美育质量保障机制体系</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（四）美育工作发展激励政策</w:t>
      </w:r>
    </w:p>
    <w:p>
      <w:pPr>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四、美育工作发展条件</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（一）美育师资队伍建设与水平</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1.美育教师队伍的数量与结构</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2.美育教师的专业水平和教学能力</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（二）美育教学资源建设与水平</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1.美育教学经费投入及保障机制</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2.美育教育教学资源建设及共享</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3.美育网络资源、平台建设</w:t>
      </w:r>
    </w:p>
    <w:p>
      <w:pPr>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五、美育培养实施过程</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（一）美育课程体系建设</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（二）美育课堂教学</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1.美育课程目标的制订</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2.美育课程的设置及开足开齐</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3.美育课程培养方案的执行及考试考核方式</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（二）美育实践教学情况</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1.美育实践活动的课程化管理</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2.美育实践基地建设</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3.艺术教育内容与形式的拓展、丰富以及创新（含中外、闽台交流学习）</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（三）美育与其他学科的渗透与融合</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（四）校园文化环境的营造</w:t>
      </w:r>
    </w:p>
    <w:p>
      <w:pPr>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六、美育工作产出效果</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（一）重大美育活动参与及获奖情况</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（二）美育科研教研数量及影响力</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七、本校特色案例、特色举措</w:t>
      </w:r>
    </w:p>
    <w:p>
      <w:pPr>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八、存在问题</w:t>
      </w:r>
    </w:p>
    <w:p>
      <w:pPr>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九、对策建议</w:t>
      </w:r>
    </w:p>
    <w:p>
      <w:pPr>
        <w:widowControl/>
        <w:spacing w:line="360" w:lineRule="auto"/>
        <w:ind w:firstLine="640" w:firstLineChars="200"/>
        <w:jc w:val="left"/>
        <w:rPr>
          <w:rFonts w:hint="eastAsia" w:ascii="仿宋_GB2312" w:hAnsi="仿宋_GB2312" w:eastAsia="仿宋_GB2312" w:cs="仿宋_GB2312"/>
          <w:color w:val="000000"/>
          <w:kern w:val="0"/>
          <w:sz w:val="32"/>
          <w:szCs w:val="32"/>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widowControl/>
        <w:spacing w:line="360" w:lineRule="auto"/>
        <w:ind w:firstLine="560" w:firstLineChars="200"/>
        <w:jc w:val="left"/>
        <w:rPr>
          <w:rFonts w:ascii="仿宋_GB2312" w:hAnsi="Times New Roman" w:eastAsia="仿宋_GB2312" w:cs="Times New Roman"/>
          <w:color w:val="000000"/>
          <w:kern w:val="0"/>
          <w:sz w:val="28"/>
          <w:szCs w:val="28"/>
        </w:rPr>
      </w:pPr>
    </w:p>
    <w:p>
      <w:pPr>
        <w:widowControl/>
        <w:jc w:val="left"/>
        <w:sectPr>
          <w:footerReference r:id="rId4" w:type="default"/>
          <w:pgSz w:w="11906" w:h="16838"/>
          <w:pgMar w:top="1361" w:right="1644" w:bottom="1361" w:left="1644" w:header="851" w:footer="992" w:gutter="0"/>
          <w:cols w:space="425" w:num="1"/>
          <w:docGrid w:type="lines" w:linePitch="634" w:charSpace="0"/>
        </w:sectPr>
      </w:pPr>
      <w:r>
        <w:br w:type="page"/>
      </w:r>
    </w:p>
    <w:p>
      <w:pPr>
        <w:rPr>
          <w:rFonts w:ascii="黑体" w:eastAsia="黑体"/>
          <w:kern w:val="0"/>
          <w:sz w:val="32"/>
          <w:szCs w:val="32"/>
        </w:rPr>
      </w:pPr>
      <w:r>
        <w:rPr>
          <w:rFonts w:hint="eastAsia" w:ascii="黑体" w:eastAsia="黑体"/>
          <w:kern w:val="0"/>
          <w:sz w:val="32"/>
          <w:szCs w:val="32"/>
        </w:rPr>
        <w:t>附件2</w:t>
      </w:r>
    </w:p>
    <w:p>
      <w:pPr>
        <w:jc w:val="center"/>
        <w:rPr>
          <w:rFonts w:asciiTheme="minorEastAsia" w:hAnsiTheme="minorEastAsia"/>
          <w:b/>
          <w:kern w:val="0"/>
          <w:sz w:val="36"/>
          <w:szCs w:val="36"/>
        </w:rPr>
      </w:pPr>
      <w:r>
        <w:rPr>
          <w:rFonts w:hint="eastAsia" w:asciiTheme="minorEastAsia" w:hAnsiTheme="minorEastAsia"/>
          <w:b/>
          <w:kern w:val="0"/>
          <w:sz w:val="36"/>
          <w:szCs w:val="36"/>
        </w:rPr>
        <w:t>福建省普通高校美育工作发展监测报告指标体系（试行）</w:t>
      </w:r>
    </w:p>
    <w:p>
      <w:pPr>
        <w:jc w:val="center"/>
        <w:rPr>
          <w:rFonts w:ascii="仿宋_GB2312" w:eastAsia="仿宋_GB2312"/>
          <w:kern w:val="0"/>
          <w:sz w:val="30"/>
          <w:szCs w:val="30"/>
        </w:rPr>
      </w:pPr>
    </w:p>
    <w:tbl>
      <w:tblPr>
        <w:tblStyle w:val="19"/>
        <w:tblW w:w="143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7"/>
        <w:gridCol w:w="1258"/>
        <w:gridCol w:w="2299"/>
        <w:gridCol w:w="95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tcPr>
          <w:p>
            <w:pPr>
              <w:spacing w:line="340" w:lineRule="exact"/>
              <w:jc w:val="center"/>
              <w:rPr>
                <w:rFonts w:ascii="仿宋_GB2312" w:eastAsia="仿宋_GB2312"/>
                <w:szCs w:val="21"/>
              </w:rPr>
            </w:pPr>
            <w:r>
              <w:rPr>
                <w:rFonts w:hint="eastAsia" w:ascii="仿宋_GB2312" w:eastAsia="仿宋_GB2312"/>
                <w:szCs w:val="21"/>
              </w:rPr>
              <w:t>一级指标</w:t>
            </w:r>
          </w:p>
        </w:tc>
        <w:tc>
          <w:tcPr>
            <w:tcW w:w="1258" w:type="dxa"/>
          </w:tcPr>
          <w:p>
            <w:pPr>
              <w:spacing w:line="340" w:lineRule="exact"/>
              <w:jc w:val="center"/>
              <w:rPr>
                <w:rFonts w:ascii="仿宋_GB2312" w:eastAsia="仿宋_GB2312"/>
                <w:szCs w:val="21"/>
              </w:rPr>
            </w:pPr>
            <w:r>
              <w:rPr>
                <w:rFonts w:hint="eastAsia" w:ascii="仿宋_GB2312" w:eastAsia="仿宋_GB2312"/>
                <w:szCs w:val="21"/>
              </w:rPr>
              <w:t>二级指标</w:t>
            </w:r>
          </w:p>
        </w:tc>
        <w:tc>
          <w:tcPr>
            <w:tcW w:w="2299" w:type="dxa"/>
          </w:tcPr>
          <w:p>
            <w:pPr>
              <w:spacing w:line="340" w:lineRule="exact"/>
              <w:jc w:val="center"/>
              <w:rPr>
                <w:rFonts w:ascii="仿宋_GB2312" w:eastAsia="仿宋_GB2312"/>
                <w:szCs w:val="21"/>
              </w:rPr>
            </w:pPr>
            <w:r>
              <w:rPr>
                <w:rFonts w:hint="eastAsia" w:ascii="仿宋_GB2312" w:eastAsia="仿宋_GB2312"/>
                <w:szCs w:val="21"/>
              </w:rPr>
              <w:t>三级指标</w:t>
            </w:r>
          </w:p>
        </w:tc>
        <w:tc>
          <w:tcPr>
            <w:tcW w:w="9548" w:type="dxa"/>
          </w:tcPr>
          <w:p>
            <w:pPr>
              <w:spacing w:line="340" w:lineRule="exact"/>
              <w:jc w:val="center"/>
              <w:rPr>
                <w:rFonts w:ascii="仿宋_GB2312" w:eastAsia="仿宋_GB2312"/>
                <w:szCs w:val="21"/>
              </w:rPr>
            </w:pPr>
            <w:r>
              <w:rPr>
                <w:rFonts w:hint="eastAsia" w:ascii="仿宋_GB2312" w:eastAsia="仿宋_GB2312"/>
                <w:szCs w:val="21"/>
              </w:rPr>
              <w:t>观测内容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restart"/>
          </w:tcPr>
          <w:p>
            <w:pPr>
              <w:spacing w:line="340" w:lineRule="exact"/>
              <w:rPr>
                <w:rFonts w:ascii="仿宋_GB2312" w:eastAsia="仿宋_GB2312"/>
                <w:szCs w:val="21"/>
              </w:rPr>
            </w:pPr>
            <w:r>
              <w:rPr>
                <w:rFonts w:hint="eastAsia" w:ascii="仿宋_GB2312" w:eastAsia="仿宋_GB2312"/>
                <w:szCs w:val="21"/>
              </w:rPr>
              <w:t>1理念认识</w:t>
            </w:r>
          </w:p>
        </w:tc>
        <w:tc>
          <w:tcPr>
            <w:tcW w:w="1258" w:type="dxa"/>
            <w:vMerge w:val="restart"/>
          </w:tcPr>
          <w:p>
            <w:pPr>
              <w:spacing w:line="340" w:lineRule="exact"/>
              <w:rPr>
                <w:rFonts w:ascii="仿宋_GB2312" w:eastAsia="仿宋_GB2312"/>
                <w:szCs w:val="21"/>
              </w:rPr>
            </w:pPr>
            <w:r>
              <w:rPr>
                <w:rFonts w:hint="eastAsia" w:ascii="仿宋_GB2312" w:eastAsia="仿宋_GB2312"/>
                <w:szCs w:val="21"/>
              </w:rPr>
              <w:t>发展战略及定位目标</w:t>
            </w:r>
          </w:p>
          <w:p>
            <w:pPr>
              <w:spacing w:line="340" w:lineRule="exact"/>
              <w:rPr>
                <w:rFonts w:ascii="仿宋_GB2312" w:eastAsia="仿宋_GB2312"/>
                <w:szCs w:val="21"/>
              </w:rPr>
            </w:pPr>
          </w:p>
        </w:tc>
        <w:tc>
          <w:tcPr>
            <w:tcW w:w="2299" w:type="dxa"/>
          </w:tcPr>
          <w:p>
            <w:pPr>
              <w:spacing w:line="340" w:lineRule="exact"/>
              <w:rPr>
                <w:rFonts w:ascii="仿宋_GB2312" w:eastAsia="仿宋_GB2312"/>
                <w:szCs w:val="21"/>
              </w:rPr>
            </w:pPr>
            <w:r>
              <w:rPr>
                <w:rFonts w:hint="eastAsia" w:ascii="仿宋_GB2312" w:eastAsia="仿宋_GB2312"/>
                <w:szCs w:val="21"/>
              </w:rPr>
              <w:t>人才培养目标定位中是否有美育要求</w:t>
            </w:r>
          </w:p>
        </w:tc>
        <w:tc>
          <w:tcPr>
            <w:tcW w:w="9548" w:type="dxa"/>
          </w:tcPr>
          <w:p>
            <w:pPr>
              <w:widowControl/>
              <w:spacing w:line="340" w:lineRule="exact"/>
              <w:jc w:val="left"/>
              <w:rPr>
                <w:rFonts w:ascii="仿宋_GB2312" w:eastAsia="仿宋_GB2312"/>
                <w:szCs w:val="21"/>
              </w:rPr>
            </w:pPr>
            <w:r>
              <w:rPr>
                <w:rFonts w:hint="eastAsia" w:ascii="仿宋_GB2312" w:eastAsia="仿宋_GB2312"/>
                <w:szCs w:val="21"/>
              </w:rPr>
              <w:t>重点观测内容：学校是否全面贯彻党的教育方针，以立德树人为根本任务，把践行社会主义核心价值观融入学校美育全过程以及人才培养过程；是否把提高学生审美和人文素养作为学校教育的基本目标之一等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rFonts w:ascii="仿宋_GB2312" w:eastAsia="仿宋_GB2312"/>
                <w:szCs w:val="21"/>
              </w:rPr>
            </w:pPr>
            <w:r>
              <w:rPr>
                <w:rFonts w:hint="eastAsia" w:ascii="仿宋_GB2312" w:eastAsia="仿宋_GB2312"/>
                <w:szCs w:val="21"/>
              </w:rPr>
              <w:t>十三五规划中是否有美育内容</w:t>
            </w:r>
          </w:p>
        </w:tc>
        <w:tc>
          <w:tcPr>
            <w:tcW w:w="9548" w:type="dxa"/>
          </w:tcPr>
          <w:p>
            <w:pPr>
              <w:widowControl/>
              <w:spacing w:line="340" w:lineRule="exact"/>
              <w:jc w:val="left"/>
              <w:rPr>
                <w:rFonts w:ascii="仿宋_GB2312" w:eastAsia="仿宋_GB2312"/>
                <w:szCs w:val="21"/>
              </w:rPr>
            </w:pPr>
            <w:r>
              <w:rPr>
                <w:rFonts w:hint="eastAsia" w:ascii="仿宋_GB2312" w:eastAsia="仿宋_GB2312"/>
                <w:szCs w:val="21"/>
              </w:rPr>
              <w:t>重点观测内容：是否在十三五规划中因校制宜、因地制宜制定不同特色的美育措施，努力形成一校一品、一校多品。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tcPr>
          <w:p>
            <w:pPr>
              <w:spacing w:line="340" w:lineRule="exact"/>
              <w:rPr>
                <w:rFonts w:ascii="仿宋_GB2312" w:eastAsia="仿宋_GB2312"/>
                <w:szCs w:val="21"/>
              </w:rPr>
            </w:pPr>
            <w:r>
              <w:rPr>
                <w:rFonts w:hint="eastAsia" w:ascii="仿宋_GB2312" w:eastAsia="仿宋_GB2312"/>
                <w:szCs w:val="21"/>
              </w:rPr>
              <w:t>质量保障</w:t>
            </w:r>
          </w:p>
        </w:tc>
        <w:tc>
          <w:tcPr>
            <w:tcW w:w="2299" w:type="dxa"/>
          </w:tcPr>
          <w:p>
            <w:pPr>
              <w:spacing w:line="340" w:lineRule="exact"/>
              <w:rPr>
                <w:rFonts w:ascii="仿宋_GB2312" w:eastAsia="仿宋_GB2312"/>
                <w:szCs w:val="21"/>
              </w:rPr>
            </w:pPr>
            <w:r>
              <w:rPr>
                <w:rFonts w:hint="eastAsia" w:ascii="仿宋_GB2312" w:eastAsia="仿宋_GB2312"/>
                <w:szCs w:val="21"/>
              </w:rPr>
              <w:t>美育质量保障的机制体系</w:t>
            </w:r>
          </w:p>
        </w:tc>
        <w:tc>
          <w:tcPr>
            <w:tcW w:w="9548" w:type="dxa"/>
          </w:tcPr>
          <w:p>
            <w:pPr>
              <w:widowControl/>
              <w:spacing w:line="340" w:lineRule="exact"/>
              <w:jc w:val="left"/>
              <w:rPr>
                <w:rFonts w:ascii="仿宋_GB2312" w:eastAsia="仿宋_GB2312"/>
                <w:szCs w:val="21"/>
              </w:rPr>
            </w:pPr>
            <w:r>
              <w:rPr>
                <w:rFonts w:hint="eastAsia" w:ascii="仿宋_GB2312" w:eastAsia="仿宋_GB2312"/>
                <w:szCs w:val="21"/>
              </w:rPr>
              <w:t>重点观测内容：是否有校级负责人分管艺术教育工作，并明确公共艺术教育教学机构</w:t>
            </w:r>
            <w:r>
              <w:rPr>
                <w:rFonts w:hint="eastAsia" w:ascii="仿宋_GB2312" w:eastAsia="仿宋_GB2312"/>
                <w:szCs w:val="21"/>
              </w:rPr>
              <w:footnoteReference w:id="0"/>
            </w:r>
            <w:r>
              <w:rPr>
                <w:rFonts w:hint="eastAsia" w:ascii="仿宋_GB2312" w:eastAsia="仿宋_GB2312"/>
                <w:szCs w:val="21"/>
              </w:rPr>
              <w:t>；是否建立完善学校美育工作规章制度；是否形成统筹学校美育发展、促进德智体美有机融合、整合各类美育资源、促进校内外支持美育发展的保障机制体系；是否建立以提高美育教育教学质量为导向的管理制度和工作机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tcPr>
          <w:p>
            <w:pPr>
              <w:spacing w:line="340" w:lineRule="exact"/>
              <w:rPr>
                <w:rFonts w:ascii="仿宋_GB2312" w:eastAsia="仿宋_GB2312"/>
                <w:szCs w:val="21"/>
              </w:rPr>
            </w:pPr>
            <w:r>
              <w:rPr>
                <w:rFonts w:hint="eastAsia" w:ascii="仿宋_GB2312" w:eastAsia="仿宋_GB2312"/>
                <w:szCs w:val="21"/>
              </w:rPr>
              <w:t>激励措施</w:t>
            </w:r>
          </w:p>
          <w:p>
            <w:pPr>
              <w:spacing w:line="340" w:lineRule="exact"/>
              <w:rPr>
                <w:rFonts w:ascii="仿宋_GB2312" w:eastAsia="仿宋_GB2312"/>
                <w:szCs w:val="21"/>
              </w:rPr>
            </w:pPr>
          </w:p>
        </w:tc>
        <w:tc>
          <w:tcPr>
            <w:tcW w:w="2299" w:type="dxa"/>
          </w:tcPr>
          <w:p>
            <w:pPr>
              <w:spacing w:line="340" w:lineRule="exact"/>
              <w:rPr>
                <w:rFonts w:ascii="仿宋_GB2312" w:eastAsia="仿宋_GB2312"/>
                <w:szCs w:val="21"/>
              </w:rPr>
            </w:pPr>
            <w:r>
              <w:rPr>
                <w:rFonts w:hint="eastAsia" w:ascii="仿宋_GB2312" w:eastAsia="仿宋_GB2312"/>
                <w:szCs w:val="21"/>
              </w:rPr>
              <w:t>美育质量保障激励政策</w:t>
            </w:r>
          </w:p>
        </w:tc>
        <w:tc>
          <w:tcPr>
            <w:tcW w:w="9548" w:type="dxa"/>
          </w:tcPr>
          <w:p>
            <w:pPr>
              <w:widowControl/>
              <w:spacing w:line="340" w:lineRule="exact"/>
              <w:jc w:val="left"/>
              <w:rPr>
                <w:rFonts w:ascii="仿宋_GB2312" w:eastAsia="仿宋_GB2312"/>
                <w:szCs w:val="21"/>
              </w:rPr>
            </w:pPr>
            <w:r>
              <w:rPr>
                <w:rFonts w:hint="eastAsia" w:ascii="仿宋_GB2312" w:eastAsia="仿宋_GB2312"/>
                <w:szCs w:val="21"/>
              </w:rPr>
              <w:t>重点观测内容：是否制订引导和激励院系重视美育、教师开展美育、学生投入美育的相关措施；美育教师创作的作品与职称评聘的挂钩。</w:t>
            </w:r>
            <w:r>
              <w:rPr>
                <w:rFonts w:hint="eastAsia" w:ascii="仿宋_GB2312" w:eastAsia="仿宋_GB2312"/>
                <w:szCs w:val="21"/>
                <w:vertAlign w:val="superscript"/>
              </w:rPr>
              <w:footnoteReference w:id="1"/>
            </w:r>
            <w:r>
              <w:rPr>
                <w:rFonts w:hint="eastAsia" w:ascii="仿宋_GB2312" w:eastAsia="仿宋_GB2312"/>
                <w:szCs w:val="21"/>
              </w:rPr>
              <w:t xml:space="preserve"> 是否每年编制美育工作发展年度报告。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restart"/>
          </w:tcPr>
          <w:p>
            <w:pPr>
              <w:spacing w:line="340" w:lineRule="exact"/>
              <w:rPr>
                <w:rFonts w:ascii="仿宋_GB2312" w:eastAsia="仿宋_GB2312"/>
                <w:szCs w:val="21"/>
              </w:rPr>
            </w:pPr>
            <w:r>
              <w:rPr>
                <w:rFonts w:hint="eastAsia" w:ascii="仿宋_GB2312" w:eastAsia="仿宋_GB2312"/>
                <w:szCs w:val="21"/>
              </w:rPr>
              <w:t>2条件建设</w:t>
            </w:r>
          </w:p>
        </w:tc>
        <w:tc>
          <w:tcPr>
            <w:tcW w:w="1258" w:type="dxa"/>
            <w:vMerge w:val="restart"/>
          </w:tcPr>
          <w:p>
            <w:pPr>
              <w:spacing w:line="340" w:lineRule="exact"/>
              <w:rPr>
                <w:rFonts w:ascii="仿宋_GB2312" w:eastAsia="仿宋_GB2312"/>
                <w:szCs w:val="21"/>
              </w:rPr>
            </w:pPr>
          </w:p>
          <w:p>
            <w:pPr>
              <w:spacing w:line="340" w:lineRule="exact"/>
              <w:rPr>
                <w:rFonts w:ascii="仿宋_GB2312" w:eastAsia="仿宋_GB2312"/>
                <w:szCs w:val="21"/>
              </w:rPr>
            </w:pPr>
          </w:p>
          <w:p>
            <w:pPr>
              <w:spacing w:line="340" w:lineRule="exact"/>
              <w:rPr>
                <w:rFonts w:ascii="仿宋_GB2312" w:eastAsia="仿宋_GB2312"/>
                <w:szCs w:val="21"/>
              </w:rPr>
            </w:pPr>
            <w:r>
              <w:rPr>
                <w:rFonts w:hint="eastAsia" w:ascii="仿宋_GB2312" w:eastAsia="仿宋_GB2312"/>
                <w:szCs w:val="21"/>
              </w:rPr>
              <w:t>师资队伍</w:t>
            </w:r>
          </w:p>
        </w:tc>
        <w:tc>
          <w:tcPr>
            <w:tcW w:w="2299" w:type="dxa"/>
          </w:tcPr>
          <w:p>
            <w:pPr>
              <w:spacing w:line="340" w:lineRule="exact"/>
              <w:rPr>
                <w:rFonts w:ascii="仿宋_GB2312" w:eastAsia="仿宋_GB2312"/>
                <w:szCs w:val="21"/>
              </w:rPr>
            </w:pPr>
            <w:r>
              <w:rPr>
                <w:rFonts w:hint="eastAsia" w:ascii="仿宋_GB2312" w:eastAsia="仿宋_GB2312"/>
                <w:szCs w:val="21"/>
              </w:rPr>
              <w:t>美育教师队伍的数量与结构</w:t>
            </w:r>
          </w:p>
          <w:p>
            <w:pPr>
              <w:spacing w:line="340" w:lineRule="exact"/>
              <w:rPr>
                <w:rFonts w:ascii="仿宋_GB2312" w:eastAsia="仿宋_GB2312"/>
                <w:szCs w:val="21"/>
              </w:rPr>
            </w:pPr>
          </w:p>
        </w:tc>
        <w:tc>
          <w:tcPr>
            <w:tcW w:w="9548" w:type="dxa"/>
          </w:tcPr>
          <w:p>
            <w:pPr>
              <w:widowControl/>
              <w:spacing w:line="340" w:lineRule="exact"/>
              <w:jc w:val="left"/>
              <w:rPr>
                <w:rFonts w:ascii="仿宋_GB2312" w:eastAsia="仿宋_GB2312"/>
                <w:szCs w:val="21"/>
              </w:rPr>
            </w:pPr>
            <w:r>
              <w:rPr>
                <w:rFonts w:hint="eastAsia" w:ascii="仿宋_GB2312" w:eastAsia="仿宋_GB2312"/>
                <w:szCs w:val="21"/>
              </w:rPr>
              <w:t>重点观测内容：是否建设一支面向全体学生的师德高尚、业务精湛、结构合理、充满活力的高素质的专兼职美育教师队伍。面向全校学生的公共艺术教师队伍建设情况，包括公共艺术教育教师的总量、占比以及年龄结构、职称结构、学历结构等；专职公共艺术教育教师的数量、比例；兼职公共艺术教育教师的数量、比例以及来源（可分两类，一类为具有艺术特长的教师和管理人员经必要专业培训后可担任兼职艺术教师；另一类可聘用社会文化艺术团队专业人士、民间艺人担任学校兼职艺术教师）</w:t>
            </w:r>
          </w:p>
          <w:p>
            <w:pPr>
              <w:widowControl/>
              <w:spacing w:line="340" w:lineRule="exact"/>
              <w:jc w:val="left"/>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rFonts w:ascii="仿宋_GB2312" w:eastAsia="仿宋_GB2312"/>
                <w:szCs w:val="21"/>
              </w:rPr>
            </w:pPr>
            <w:r>
              <w:rPr>
                <w:rFonts w:hint="eastAsia" w:ascii="仿宋_GB2312" w:eastAsia="仿宋_GB2312"/>
                <w:szCs w:val="21"/>
              </w:rPr>
              <w:t>美育教师的专业水平和教学能力</w:t>
            </w:r>
          </w:p>
        </w:tc>
        <w:tc>
          <w:tcPr>
            <w:tcW w:w="9548" w:type="dxa"/>
          </w:tcPr>
          <w:p>
            <w:pPr>
              <w:widowControl/>
              <w:spacing w:line="340" w:lineRule="exact"/>
              <w:jc w:val="left"/>
              <w:rPr>
                <w:rFonts w:ascii="仿宋_GB2312" w:eastAsia="仿宋_GB2312"/>
                <w:szCs w:val="21"/>
              </w:rPr>
            </w:pPr>
            <w:r>
              <w:rPr>
                <w:rFonts w:hint="eastAsia" w:ascii="仿宋_GB2312" w:eastAsia="仿宋_GB2312"/>
                <w:szCs w:val="21"/>
              </w:rPr>
              <w:t>重点观测内容：是否建立高校与地方政府、行业企业、中小学协同培养美育教师的新机制；是否建立促进美育教师培养、培训、研究和服务一体化的机制；美育教师接受培训数量；教师参与美育课程建设和教学改革情况；跨校、跨学科教师合作开发开设美育课程情况；老中青教师传帮带和新老教师互帮互制机制；美育课程教学交流和教学技能培训平台等。</w:t>
            </w:r>
          </w:p>
          <w:p>
            <w:pPr>
              <w:widowControl/>
              <w:spacing w:line="340" w:lineRule="exact"/>
              <w:jc w:val="left"/>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restart"/>
          </w:tcPr>
          <w:p>
            <w:pPr>
              <w:spacing w:line="340" w:lineRule="exact"/>
              <w:rPr>
                <w:rFonts w:ascii="仿宋_GB2312" w:eastAsia="仿宋_GB2312"/>
                <w:szCs w:val="21"/>
              </w:rPr>
            </w:pPr>
            <w:r>
              <w:rPr>
                <w:rFonts w:hint="eastAsia" w:ascii="仿宋_GB2312" w:eastAsia="仿宋_GB2312"/>
                <w:szCs w:val="21"/>
              </w:rPr>
              <w:t>教学资源</w:t>
            </w:r>
          </w:p>
        </w:tc>
        <w:tc>
          <w:tcPr>
            <w:tcW w:w="2299" w:type="dxa"/>
          </w:tcPr>
          <w:p>
            <w:pPr>
              <w:spacing w:line="340" w:lineRule="exact"/>
              <w:rPr>
                <w:rFonts w:ascii="仿宋_GB2312" w:eastAsia="仿宋_GB2312"/>
                <w:szCs w:val="21"/>
              </w:rPr>
            </w:pPr>
            <w:r>
              <w:rPr>
                <w:rFonts w:hint="eastAsia" w:ascii="仿宋_GB2312" w:eastAsia="仿宋_GB2312"/>
                <w:szCs w:val="21"/>
              </w:rPr>
              <w:t>美育教学经费投入及保障机制</w:t>
            </w:r>
          </w:p>
        </w:tc>
        <w:tc>
          <w:tcPr>
            <w:tcW w:w="9548" w:type="dxa"/>
          </w:tcPr>
          <w:p>
            <w:pPr>
              <w:spacing w:line="340" w:lineRule="exact"/>
              <w:rPr>
                <w:rFonts w:ascii="仿宋_GB2312" w:eastAsia="仿宋_GB2312"/>
                <w:szCs w:val="21"/>
              </w:rPr>
            </w:pPr>
            <w:r>
              <w:rPr>
                <w:rFonts w:hint="eastAsia" w:ascii="仿宋_GB2312" w:eastAsia="仿宋_GB2312"/>
                <w:szCs w:val="21"/>
              </w:rPr>
              <w:t>重点观测内容：美育教育教学经费投入及占比情况；美育教学经费年度变化情况；美育教学经费分配方式、比例及使用效益；以及通过多种形式筹措资金投入美育工作情况。</w:t>
            </w:r>
          </w:p>
          <w:p>
            <w:pPr>
              <w:spacing w:line="340" w:lineRule="exact"/>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rFonts w:ascii="仿宋_GB2312" w:eastAsia="仿宋_GB2312"/>
                <w:szCs w:val="21"/>
              </w:rPr>
            </w:pPr>
            <w:r>
              <w:rPr>
                <w:rFonts w:hint="eastAsia" w:ascii="仿宋_GB2312" w:eastAsia="仿宋_GB2312"/>
                <w:szCs w:val="21"/>
              </w:rPr>
              <w:t>美育教育教学资源的建设</w:t>
            </w:r>
          </w:p>
        </w:tc>
        <w:tc>
          <w:tcPr>
            <w:tcW w:w="9548" w:type="dxa"/>
          </w:tcPr>
          <w:p>
            <w:pPr>
              <w:spacing w:line="340" w:lineRule="exact"/>
              <w:rPr>
                <w:rFonts w:ascii="仿宋_GB2312" w:eastAsia="仿宋_GB2312"/>
                <w:szCs w:val="21"/>
              </w:rPr>
            </w:pPr>
            <w:r>
              <w:rPr>
                <w:rFonts w:hint="eastAsia" w:ascii="仿宋_GB2312" w:eastAsia="仿宋_GB2312"/>
                <w:szCs w:val="21"/>
              </w:rPr>
              <w:t>重点观测内容：艺术教育场馆建设情况，包括总面积、生均面积；文化建设项目布点在学校的情况；学校资源与社会资源互动互联，校内外资源设施共建共享情况；学校与社会艺术团体及社区合作情况。</w:t>
            </w:r>
          </w:p>
          <w:p>
            <w:pPr>
              <w:spacing w:line="340" w:lineRule="exact"/>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rFonts w:ascii="仿宋_GB2312" w:eastAsia="仿宋_GB2312"/>
                <w:szCs w:val="21"/>
              </w:rPr>
            </w:pPr>
            <w:r>
              <w:rPr>
                <w:rFonts w:hint="eastAsia" w:ascii="仿宋_GB2312" w:eastAsia="仿宋_GB2312"/>
                <w:kern w:val="0"/>
                <w:szCs w:val="21"/>
              </w:rPr>
              <w:t>美育网络资源、平台建设</w:t>
            </w:r>
          </w:p>
        </w:tc>
        <w:tc>
          <w:tcPr>
            <w:tcW w:w="9548" w:type="dxa"/>
          </w:tcPr>
          <w:p>
            <w:pPr>
              <w:widowControl/>
              <w:spacing w:line="340" w:lineRule="exact"/>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重点观测内容：通过信息化手段扩大优质美育教育资源覆盖面情况；与校外联合建立美育资源网络平台；加强基于移动互联网的美育学习平台建设；是否围绕美育理论课程、艺术鉴赏课程和美育实践课程，引进和建设一批资源共享的美育类公开课程、MCOO课、微课等在线开放课程；是否建立在线课程认证和学分认证制度，满足学生个性化、多样化学习需求。</w:t>
            </w:r>
          </w:p>
          <w:p>
            <w:pPr>
              <w:widowControl/>
              <w:spacing w:line="340" w:lineRule="exact"/>
              <w:jc w:val="left"/>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2" w:hRule="atLeast"/>
        </w:trPr>
        <w:tc>
          <w:tcPr>
            <w:tcW w:w="1227" w:type="dxa"/>
            <w:vMerge w:val="restart"/>
          </w:tcPr>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kern w:val="0"/>
                <w:szCs w:val="21"/>
              </w:rPr>
            </w:pPr>
          </w:p>
          <w:p>
            <w:pPr>
              <w:spacing w:line="340" w:lineRule="exact"/>
              <w:rPr>
                <w:rFonts w:ascii="仿宋_GB2312" w:eastAsia="仿宋_GB2312"/>
                <w:szCs w:val="21"/>
              </w:rPr>
            </w:pPr>
            <w:r>
              <w:rPr>
                <w:rFonts w:hint="eastAsia" w:ascii="仿宋_GB2312" w:eastAsia="仿宋_GB2312"/>
                <w:kern w:val="0"/>
                <w:szCs w:val="21"/>
              </w:rPr>
              <w:t>3实施过程</w:t>
            </w:r>
          </w:p>
        </w:tc>
        <w:tc>
          <w:tcPr>
            <w:tcW w:w="1258" w:type="dxa"/>
          </w:tcPr>
          <w:p>
            <w:pP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美育课程体系建设</w:t>
            </w:r>
          </w:p>
        </w:tc>
        <w:tc>
          <w:tcPr>
            <w:tcW w:w="2299" w:type="dxa"/>
          </w:tcPr>
          <w:p>
            <w:pPr>
              <w:spacing w:line="340" w:lineRule="exact"/>
              <w:rPr>
                <w:rFonts w:ascii="仿宋_GB2312" w:eastAsia="仿宋_GB2312"/>
                <w:szCs w:val="21"/>
              </w:rPr>
            </w:pPr>
            <w:r>
              <w:rPr>
                <w:rFonts w:hint="eastAsia" w:ascii="仿宋_GB2312" w:eastAsia="仿宋_GB2312"/>
                <w:szCs w:val="21"/>
              </w:rPr>
              <w:t>美育课程数量及结构</w:t>
            </w:r>
          </w:p>
        </w:tc>
        <w:tc>
          <w:tcPr>
            <w:tcW w:w="9548" w:type="dxa"/>
          </w:tcPr>
          <w:p>
            <w:pPr>
              <w:widowControl/>
              <w:spacing w:line="340" w:lineRule="exact"/>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重点观测内容：是否开设丰富优质的美育课程；学校面向全体学生开设的公共艺术课程是否纳入各专业本科的教学计划之中；公共艺术必修及选修课程开设的数量；公共学生在校学习期间在艺术限定性选修课程中的选修情况及考核情况；公共艺术课程与学分及毕业的关联情况；开设艺术任意性选修课程或系列专题讲座情况以及纳入学分管理情况；教育部部属学校、“211工程”学校，以及省属重点学校开足开齐公共艺术类课程情况；开设具有民族地域特色的地方艺术课程。</w:t>
            </w:r>
            <w:r>
              <w:rPr>
                <w:rStyle w:val="17"/>
                <w:rFonts w:hint="eastAsia" w:ascii="仿宋_GB2312" w:hAnsi="Times New Roman" w:eastAsia="仿宋_GB2312" w:cs="Times New Roman"/>
                <w:color w:val="000000"/>
                <w:kern w:val="0"/>
                <w:szCs w:val="21"/>
              </w:rPr>
              <w:footnoteReference w:id="2"/>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restart"/>
          </w:tcPr>
          <w:p>
            <w:pPr>
              <w:rPr>
                <w:kern w:val="0"/>
                <w:szCs w:val="21"/>
              </w:rPr>
            </w:pPr>
            <w:r>
              <w:rPr>
                <w:rFonts w:hint="eastAsia" w:ascii="仿宋_GB2312" w:eastAsia="仿宋_GB2312"/>
                <w:kern w:val="0"/>
                <w:szCs w:val="21"/>
              </w:rPr>
              <w:t>美育课堂教学</w:t>
            </w:r>
          </w:p>
        </w:tc>
        <w:tc>
          <w:tcPr>
            <w:tcW w:w="2299" w:type="dxa"/>
          </w:tcPr>
          <w:p>
            <w:pPr>
              <w:spacing w:line="340" w:lineRule="exact"/>
              <w:rPr>
                <w:rFonts w:ascii="仿宋_GB2312" w:eastAsia="仿宋_GB2312"/>
                <w:szCs w:val="21"/>
              </w:rPr>
            </w:pPr>
            <w:r>
              <w:rPr>
                <w:rFonts w:hint="eastAsia" w:ascii="仿宋_GB2312" w:eastAsia="仿宋_GB2312"/>
                <w:kern w:val="0"/>
                <w:szCs w:val="21"/>
              </w:rPr>
              <w:t>美育课程目标的制订</w:t>
            </w:r>
          </w:p>
        </w:tc>
        <w:tc>
          <w:tcPr>
            <w:tcW w:w="9548" w:type="dxa"/>
          </w:tcPr>
          <w:p>
            <w:pPr>
              <w:widowControl/>
              <w:spacing w:line="340" w:lineRule="exact"/>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重点观测内容：是否科学定位美育课程目标，形成以艺术课程为主体，以审美和人文素养培养为核心，以创新能力培育为重点，各学科相互渗透融合的课程目标定位；分类观测课程目标制订与人才培养目标的统一，职业院校美育课程强化艺术实践，注重与专业课程的有机结合，培养具有审美修养的高素质技术技能人才。普通高校美育课程要依托本校相关学科优势和当地教育资源优势，拓展教育教学内容和形式，引导学生完善人格修养，强化学生的文化主体意识和文化创新意识，增强学生传承弘扬中华优秀文化艺术的责任感和使命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rFonts w:ascii="仿宋_GB2312" w:eastAsia="仿宋_GB2312"/>
                <w:szCs w:val="21"/>
              </w:rPr>
            </w:pPr>
            <w:r>
              <w:rPr>
                <w:rFonts w:hint="eastAsia" w:ascii="仿宋_GB2312" w:eastAsia="仿宋_GB2312"/>
                <w:kern w:val="0"/>
                <w:szCs w:val="21"/>
              </w:rPr>
              <w:t>美育课程的设置及开足开齐</w:t>
            </w:r>
          </w:p>
        </w:tc>
        <w:tc>
          <w:tcPr>
            <w:tcW w:w="9548" w:type="dxa"/>
          </w:tcPr>
          <w:p>
            <w:pPr>
              <w:widowControl/>
              <w:spacing w:line="340" w:lineRule="exact"/>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重点观测内容：分类观测职业院校和普通高校。职业院校要在开好与基础教育相衔接的美育课程的同时，积极探索开好体现职业教育专业和学生特点的拓展课程；通过选修、辅修等形式开展审美鉴赏等艺术相关课程教学；将美育渗透专业教学、实习实训活动及学生职业生涯教育活动；省级优质美育课程评选获奖情况。</w:t>
            </w:r>
          </w:p>
          <w:p>
            <w:pPr>
              <w:widowControl/>
              <w:spacing w:line="340" w:lineRule="exact"/>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普通高校发挥舞蹈学类、戏剧与影视学类、美术学类、设计学类等学科专业优势和当地文化优势，开设以艺术鉴赏为主的限定性选修课程情况；以艺术实践类、艺术史论类、艺术批评类等为重点开设任意性选修课程情况；是否建设一批与单一或多学科专业交叉融合的新型美育课程，开发一批具有民族地域特色的共享度高、互补性强的精品美育课程情况。</w:t>
            </w:r>
          </w:p>
          <w:p>
            <w:pPr>
              <w:widowControl/>
              <w:spacing w:line="340" w:lineRule="exact"/>
              <w:jc w:val="left"/>
              <w:rPr>
                <w:rFonts w:ascii="仿宋_GB2312" w:eastAsia="仿宋_GB2312"/>
                <w:szCs w:val="21"/>
              </w:rPr>
            </w:pPr>
            <w:r>
              <w:rPr>
                <w:rFonts w:hint="eastAsia" w:ascii="仿宋_GB2312" w:hAnsi="Times New Roman" w:eastAsia="仿宋_GB2312" w:cs="Times New Roman"/>
                <w:color w:val="000000"/>
                <w:kern w:val="0"/>
                <w:szCs w:val="21"/>
              </w:rPr>
              <w:t>积极开发地方美育课程资源。高校校本美育课程建设情况，如因地制宜开发南音、莆仙戏、闽剧等地方戏曲和闽派文化等地方文化及非物质文化遗产等地方美育课程资源情况。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rFonts w:ascii="仿宋_GB2312" w:eastAsia="仿宋_GB2312"/>
                <w:szCs w:val="21"/>
              </w:rPr>
            </w:pPr>
            <w:r>
              <w:rPr>
                <w:rFonts w:hint="eastAsia" w:ascii="仿宋_GB2312" w:eastAsia="仿宋_GB2312"/>
                <w:kern w:val="0"/>
                <w:szCs w:val="21"/>
              </w:rPr>
              <w:t>美育课程培养方案的执行</w:t>
            </w:r>
          </w:p>
        </w:tc>
        <w:tc>
          <w:tcPr>
            <w:tcW w:w="9548" w:type="dxa"/>
          </w:tcPr>
          <w:p>
            <w:pPr>
              <w:widowControl/>
              <w:spacing w:line="340" w:lineRule="exact"/>
              <w:jc w:val="left"/>
              <w:rPr>
                <w:rFonts w:ascii="仿宋_GB2312" w:eastAsia="仿宋_GB2312"/>
                <w:szCs w:val="21"/>
              </w:rPr>
            </w:pPr>
            <w:r>
              <w:rPr>
                <w:rFonts w:hint="eastAsia" w:ascii="仿宋_GB2312" w:hAnsi="Times New Roman" w:eastAsia="仿宋_GB2312" w:cs="Times New Roman"/>
                <w:color w:val="000000"/>
                <w:kern w:val="0"/>
                <w:szCs w:val="21"/>
              </w:rPr>
              <w:t>重点观测内容：是否以提高学校美育教育教学质量为导向，进一步建立健全美育课程的教学模式、教学方法、课程评价、管理制度和工作机制。按照课程设置方案和课程标准、教学指导纲要，开齐开足上好美育课程。是否结合实际情况制定艺术类必修课或选修课的教学计划（课程方案）进行教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szCs w:val="21"/>
              </w:rPr>
            </w:pPr>
            <w:r>
              <w:rPr>
                <w:rFonts w:hint="eastAsia" w:ascii="仿宋_GB2312" w:eastAsia="仿宋_GB2312"/>
                <w:kern w:val="0"/>
                <w:szCs w:val="21"/>
              </w:rPr>
              <w:t>美育课程考试考核方式</w:t>
            </w:r>
          </w:p>
        </w:tc>
        <w:tc>
          <w:tcPr>
            <w:tcW w:w="9548" w:type="dxa"/>
          </w:tcPr>
          <w:p>
            <w:pPr>
              <w:widowControl/>
              <w:spacing w:line="340" w:lineRule="exact"/>
              <w:rPr>
                <w:rFonts w:ascii="仿宋_GB2312" w:eastAsia="仿宋_GB2312"/>
                <w:szCs w:val="21"/>
              </w:rPr>
            </w:pPr>
            <w:r>
              <w:rPr>
                <w:rFonts w:hint="eastAsia" w:ascii="仿宋_GB2312" w:hAnsi="Times New Roman" w:eastAsia="仿宋_GB2312" w:cs="Times New Roman"/>
                <w:color w:val="000000"/>
                <w:kern w:val="0"/>
                <w:szCs w:val="21"/>
              </w:rPr>
              <w:t>重点观测内容：考试或考查方式。</w:t>
            </w:r>
            <w:r>
              <w:rPr>
                <w:rStyle w:val="17"/>
                <w:rFonts w:hint="eastAsia" w:ascii="仿宋_GB2312" w:hAnsi="Times New Roman" w:eastAsia="仿宋_GB2312" w:cs="Times New Roman"/>
                <w:color w:val="000000"/>
                <w:kern w:val="0"/>
                <w:szCs w:val="21"/>
              </w:rPr>
              <w:footnoteReference w:id="3"/>
            </w:r>
            <w:r>
              <w:rPr>
                <w:rFonts w:hint="eastAsia" w:ascii="仿宋_GB2312" w:hAnsi="Times New Roman" w:eastAsia="仿宋_GB2312" w:cs="Times New Roman"/>
                <w:color w:val="000000"/>
                <w:kern w:val="0"/>
                <w:szCs w:val="21"/>
              </w:rPr>
              <w:t>结合学校实际的课程评价体系。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restart"/>
          </w:tcPr>
          <w:p>
            <w:pPr>
              <w:spacing w:line="340" w:lineRule="exact"/>
              <w:rPr>
                <w:rFonts w:ascii="仿宋_GB2312" w:eastAsia="仿宋_GB2312"/>
                <w:szCs w:val="21"/>
              </w:rPr>
            </w:pPr>
            <w:r>
              <w:rPr>
                <w:rFonts w:hint="eastAsia" w:ascii="仿宋_GB2312" w:eastAsia="仿宋_GB2312"/>
                <w:kern w:val="0"/>
                <w:szCs w:val="21"/>
              </w:rPr>
              <w:t>美育实践教学</w:t>
            </w:r>
          </w:p>
        </w:tc>
        <w:tc>
          <w:tcPr>
            <w:tcW w:w="2299" w:type="dxa"/>
          </w:tcPr>
          <w:p>
            <w:pPr>
              <w:spacing w:line="340" w:lineRule="exact"/>
              <w:rPr>
                <w:rFonts w:ascii="仿宋_GB2312" w:eastAsia="仿宋_GB2312"/>
                <w:szCs w:val="21"/>
              </w:rPr>
            </w:pPr>
            <w:r>
              <w:rPr>
                <w:rFonts w:hint="eastAsia" w:ascii="仿宋_GB2312" w:eastAsia="仿宋_GB2312"/>
                <w:kern w:val="0"/>
                <w:szCs w:val="21"/>
              </w:rPr>
              <w:t>美育实践活动的课程化管理</w:t>
            </w:r>
          </w:p>
        </w:tc>
        <w:tc>
          <w:tcPr>
            <w:tcW w:w="9548" w:type="dxa"/>
          </w:tcPr>
          <w:p>
            <w:pPr>
              <w:widowControl/>
              <w:spacing w:line="340" w:lineRule="exact"/>
              <w:jc w:val="left"/>
              <w:rPr>
                <w:rFonts w:ascii="仿宋_GB2312" w:eastAsia="仿宋_GB2312"/>
                <w:kern w:val="0"/>
                <w:szCs w:val="21"/>
              </w:rPr>
            </w:pPr>
            <w:r>
              <w:rPr>
                <w:rFonts w:hint="eastAsia" w:ascii="仿宋_GB2312" w:hAnsi="Times New Roman" w:eastAsia="仿宋_GB2312" w:cs="Times New Roman"/>
                <w:color w:val="000000"/>
                <w:kern w:val="0"/>
                <w:szCs w:val="21"/>
              </w:rPr>
              <w:t>重点观测内容：美育实习实训是否纳入教学计划并实施课程化管理，学生课程活动记录制度是否建立；本校所开展的贴近校园生活，积极探索具有时代特征、校园特色和学生特点的美育活动形式；有无开展以戏曲、书法、篆刻、剪纸等中华优秀传统文化艺术为重点的本校特色传统美育活动。</w:t>
            </w:r>
            <w:r>
              <w:rPr>
                <w:rStyle w:val="17"/>
                <w:rFonts w:hint="eastAsia" w:ascii="仿宋_GB2312" w:hAnsi="Times New Roman" w:eastAsia="仿宋_GB2312" w:cs="Times New Roman"/>
                <w:color w:val="000000"/>
                <w:kern w:val="0"/>
                <w:szCs w:val="21"/>
              </w:rPr>
              <w:footnoteReference w:id="4"/>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rFonts w:ascii="仿宋_GB2312" w:eastAsia="仿宋_GB2312"/>
                <w:kern w:val="0"/>
                <w:szCs w:val="21"/>
              </w:rPr>
            </w:pPr>
            <w:r>
              <w:rPr>
                <w:rFonts w:hint="eastAsia" w:ascii="仿宋_GB2312" w:eastAsia="仿宋_GB2312"/>
                <w:kern w:val="0"/>
                <w:szCs w:val="21"/>
              </w:rPr>
              <w:t>美育实践基地建设</w:t>
            </w:r>
          </w:p>
        </w:tc>
        <w:tc>
          <w:tcPr>
            <w:tcW w:w="9548" w:type="dxa"/>
          </w:tcPr>
          <w:p>
            <w:pPr>
              <w:widowControl/>
              <w:spacing w:line="340" w:lineRule="exact"/>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重点观测内容：校内外美育实践基地数量总数及分别数量；共建基地数量及情况。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rFonts w:ascii="仿宋_GB2312" w:eastAsia="仿宋_GB2312"/>
                <w:kern w:val="0"/>
                <w:szCs w:val="21"/>
              </w:rPr>
            </w:pPr>
            <w:r>
              <w:rPr>
                <w:rFonts w:hint="eastAsia" w:ascii="仿宋_GB2312" w:eastAsia="仿宋_GB2312"/>
                <w:kern w:val="0"/>
                <w:szCs w:val="21"/>
              </w:rPr>
              <w:t>艺术教育内容与形式的拓展、丰富以及创新</w:t>
            </w:r>
          </w:p>
        </w:tc>
        <w:tc>
          <w:tcPr>
            <w:tcW w:w="9548" w:type="dxa"/>
          </w:tcPr>
          <w:p>
            <w:pPr>
              <w:widowControl/>
              <w:spacing w:line="340" w:lineRule="exact"/>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重点观测内容：学生艺术活动的导向是否以育人为宗旨，面向全体学生，坚持社会主义先进文化导向，体现向真、向善、向美、向上的校园文化特质；艺术活动举办以及参与面情况；结合重大节日庆典活动对学生进行爱国主义和集体主义教育情况；艺术社团、艺术小组或各类兴趣小组建设及参与情况；是否定期举办艺术节；参与艺术活动、学习优秀民族民间艺术、欣赏高雅艺术表演、参观美术展览等；高雅艺术进校园活动；美育讲座、艺术家及民间艺术进校园并设立工作室情况；学生课外活动与学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vMerge w:val="continue"/>
          </w:tcPr>
          <w:p>
            <w:pPr>
              <w:spacing w:line="340" w:lineRule="exact"/>
              <w:rPr>
                <w:rFonts w:ascii="仿宋_GB2312" w:eastAsia="仿宋_GB2312"/>
                <w:szCs w:val="21"/>
              </w:rPr>
            </w:pPr>
          </w:p>
        </w:tc>
        <w:tc>
          <w:tcPr>
            <w:tcW w:w="2299" w:type="dxa"/>
          </w:tcPr>
          <w:p>
            <w:pPr>
              <w:spacing w:line="340" w:lineRule="exact"/>
              <w:rPr>
                <w:rFonts w:ascii="仿宋_GB2312" w:eastAsia="仿宋_GB2312"/>
                <w:szCs w:val="21"/>
              </w:rPr>
            </w:pPr>
            <w:r>
              <w:rPr>
                <w:rFonts w:hint="eastAsia" w:ascii="仿宋_GB2312" w:eastAsia="仿宋_GB2312"/>
                <w:kern w:val="0"/>
                <w:szCs w:val="21"/>
              </w:rPr>
              <w:t>学生国内外交流学习情况</w:t>
            </w:r>
          </w:p>
        </w:tc>
        <w:tc>
          <w:tcPr>
            <w:tcW w:w="9548" w:type="dxa"/>
          </w:tcPr>
          <w:p>
            <w:pPr>
              <w:widowControl/>
              <w:spacing w:line="340" w:lineRule="exact"/>
              <w:jc w:val="left"/>
              <w:rPr>
                <w:rFonts w:ascii="仿宋_GB2312" w:eastAsia="仿宋_GB2312"/>
                <w:szCs w:val="21"/>
              </w:rPr>
            </w:pPr>
            <w:r>
              <w:rPr>
                <w:rFonts w:hint="eastAsia" w:ascii="仿宋_GB2312" w:hAnsi="Times New Roman" w:eastAsia="仿宋_GB2312" w:cs="Times New Roman"/>
                <w:color w:val="000000"/>
                <w:kern w:val="0"/>
                <w:szCs w:val="21"/>
              </w:rPr>
              <w:t>重点观测内容：开展多种形式国际交流与合作，参与中外人文交流以及闽台人文交流。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tcPr>
          <w:p>
            <w:pPr>
              <w:spacing w:line="340" w:lineRule="exact"/>
              <w:rPr>
                <w:rFonts w:ascii="仿宋_GB2312" w:eastAsia="仿宋_GB2312"/>
                <w:szCs w:val="21"/>
              </w:rPr>
            </w:pPr>
            <w:r>
              <w:rPr>
                <w:rFonts w:hint="eastAsia" w:ascii="仿宋_GB2312" w:eastAsia="仿宋_GB2312"/>
                <w:kern w:val="0"/>
                <w:szCs w:val="21"/>
              </w:rPr>
              <w:t>美育与其他学科的渗透与融合</w:t>
            </w:r>
          </w:p>
        </w:tc>
        <w:tc>
          <w:tcPr>
            <w:tcW w:w="2299" w:type="dxa"/>
          </w:tcPr>
          <w:p>
            <w:pPr>
              <w:spacing w:line="340" w:lineRule="exact"/>
              <w:rPr>
                <w:rFonts w:ascii="仿宋_GB2312" w:eastAsia="仿宋_GB2312"/>
                <w:szCs w:val="21"/>
              </w:rPr>
            </w:pPr>
            <w:r>
              <w:rPr>
                <w:rFonts w:hint="eastAsia" w:ascii="仿宋_GB2312" w:eastAsia="仿宋_GB2312"/>
                <w:szCs w:val="21"/>
              </w:rPr>
              <w:t>美育的渗透性与融合性</w:t>
            </w:r>
          </w:p>
        </w:tc>
        <w:tc>
          <w:tcPr>
            <w:tcW w:w="9548" w:type="dxa"/>
          </w:tcPr>
          <w:p>
            <w:pPr>
              <w:widowControl/>
              <w:spacing w:line="340" w:lineRule="exact"/>
              <w:jc w:val="left"/>
              <w:rPr>
                <w:rFonts w:ascii="仿宋_GB2312" w:eastAsia="仿宋_GB2312"/>
                <w:kern w:val="0"/>
                <w:szCs w:val="21"/>
              </w:rPr>
            </w:pPr>
            <w:r>
              <w:rPr>
                <w:rFonts w:hint="eastAsia" w:ascii="仿宋_GB2312" w:hAnsi="Times New Roman" w:eastAsia="仿宋_GB2312" w:cs="Times New Roman"/>
                <w:color w:val="000000"/>
                <w:kern w:val="0"/>
                <w:szCs w:val="21"/>
              </w:rPr>
              <w:t>重点观测内容：是否将美育贯穿在学校教育的全过程各方面，渗透在各个学科中；是否将美育与德育、智育、体育相融合；与各学科教学和社会实践活动相结合；是否积极开展以美育为主题的跨学科教育教学和课外校外实践活动，将相关学科的美育内容有机整合，发挥各个学科教师的优势，围绕美育目标，形成课堂教学、课外活动、校园文化的育人合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tcPr>
          <w:p>
            <w:pPr>
              <w:spacing w:line="340" w:lineRule="exact"/>
              <w:rPr>
                <w:rFonts w:ascii="仿宋_GB2312" w:eastAsia="仿宋_GB2312"/>
                <w:kern w:val="0"/>
                <w:szCs w:val="21"/>
              </w:rPr>
            </w:pPr>
            <w:r>
              <w:rPr>
                <w:rFonts w:hint="eastAsia" w:ascii="仿宋_GB2312" w:eastAsia="仿宋_GB2312"/>
                <w:kern w:val="0"/>
                <w:szCs w:val="21"/>
              </w:rPr>
              <w:t>校园文化环境的营造</w:t>
            </w:r>
          </w:p>
        </w:tc>
        <w:tc>
          <w:tcPr>
            <w:tcW w:w="2299" w:type="dxa"/>
          </w:tcPr>
          <w:p>
            <w:pPr>
              <w:spacing w:line="340" w:lineRule="exact"/>
              <w:rPr>
                <w:rFonts w:ascii="仿宋_GB2312" w:eastAsia="仿宋_GB2312"/>
                <w:szCs w:val="21"/>
              </w:rPr>
            </w:pPr>
            <w:r>
              <w:rPr>
                <w:rFonts w:hint="eastAsia" w:ascii="仿宋_GB2312" w:eastAsia="仿宋_GB2312"/>
                <w:szCs w:val="21"/>
              </w:rPr>
              <w:t>美育环境营造</w:t>
            </w:r>
          </w:p>
        </w:tc>
        <w:tc>
          <w:tcPr>
            <w:tcW w:w="9548" w:type="dxa"/>
          </w:tcPr>
          <w:p>
            <w:pPr>
              <w:widowControl/>
              <w:spacing w:line="340" w:lineRule="exact"/>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重点观测内容：是否充分利用广播、电视、网络、教室、走廊、宣传栏等，营造富有美感、充满朝气的校园文化环境，以美感人，以景育人。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restart"/>
          </w:tcPr>
          <w:p>
            <w:pPr>
              <w:spacing w:line="340" w:lineRule="exact"/>
              <w:rPr>
                <w:rFonts w:ascii="仿宋_GB2312" w:eastAsia="仿宋_GB2312"/>
                <w:szCs w:val="21"/>
              </w:rPr>
            </w:pPr>
            <w:r>
              <w:rPr>
                <w:rFonts w:hint="eastAsia" w:ascii="仿宋_GB2312" w:eastAsia="仿宋_GB2312"/>
                <w:szCs w:val="21"/>
              </w:rPr>
              <w:t>4产出效果</w:t>
            </w:r>
          </w:p>
        </w:tc>
        <w:tc>
          <w:tcPr>
            <w:tcW w:w="1258" w:type="dxa"/>
          </w:tcPr>
          <w:p>
            <w:pPr>
              <w:spacing w:line="340" w:lineRule="exact"/>
              <w:rPr>
                <w:rFonts w:ascii="仿宋_GB2312" w:eastAsia="仿宋_GB2312"/>
                <w:szCs w:val="21"/>
              </w:rPr>
            </w:pPr>
            <w:r>
              <w:rPr>
                <w:rFonts w:hint="eastAsia" w:ascii="仿宋_GB2312" w:eastAsia="仿宋_GB2312"/>
                <w:szCs w:val="21"/>
              </w:rPr>
              <w:t>重大活动及影响力</w:t>
            </w:r>
          </w:p>
        </w:tc>
        <w:tc>
          <w:tcPr>
            <w:tcW w:w="2299" w:type="dxa"/>
          </w:tcPr>
          <w:p>
            <w:pPr>
              <w:spacing w:line="340" w:lineRule="exact"/>
              <w:rPr>
                <w:rFonts w:ascii="仿宋_GB2312" w:eastAsia="仿宋_GB2312"/>
                <w:szCs w:val="21"/>
              </w:rPr>
            </w:pPr>
            <w:r>
              <w:rPr>
                <w:rFonts w:hint="eastAsia" w:ascii="仿宋_GB2312" w:eastAsia="仿宋_GB2312"/>
                <w:szCs w:val="21"/>
              </w:rPr>
              <w:t>重大活动及奖项</w:t>
            </w:r>
          </w:p>
        </w:tc>
        <w:tc>
          <w:tcPr>
            <w:tcW w:w="9548" w:type="dxa"/>
          </w:tcPr>
          <w:p>
            <w:pPr>
              <w:widowControl/>
              <w:spacing w:line="340" w:lineRule="exact"/>
              <w:jc w:val="left"/>
              <w:rPr>
                <w:rFonts w:ascii="仿宋_GB2312" w:eastAsia="仿宋_GB2312"/>
                <w:szCs w:val="21"/>
              </w:rPr>
            </w:pPr>
            <w:r>
              <w:rPr>
                <w:rFonts w:hint="eastAsia" w:ascii="仿宋_GB2312" w:eastAsia="仿宋_GB2312"/>
                <w:szCs w:val="21"/>
              </w:rPr>
              <w:t>重点观测内容：各类艺术类活动的举办及影响力、涉及面；国际级、国家级、省级层面的获奖数量等。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tcPr>
          <w:p>
            <w:pPr>
              <w:spacing w:line="340" w:lineRule="exact"/>
              <w:rPr>
                <w:rFonts w:ascii="仿宋_GB2312" w:eastAsia="仿宋_GB2312"/>
                <w:szCs w:val="21"/>
              </w:rPr>
            </w:pPr>
            <w:r>
              <w:rPr>
                <w:rFonts w:hint="eastAsia" w:ascii="仿宋_GB2312" w:eastAsia="仿宋_GB2312"/>
                <w:szCs w:val="21"/>
              </w:rPr>
              <w:t>美育科研教研数量及影响力</w:t>
            </w:r>
          </w:p>
        </w:tc>
        <w:tc>
          <w:tcPr>
            <w:tcW w:w="2299" w:type="dxa"/>
          </w:tcPr>
          <w:p>
            <w:pPr>
              <w:spacing w:line="340" w:lineRule="exact"/>
              <w:rPr>
                <w:rFonts w:ascii="仿宋_GB2312" w:eastAsia="仿宋_GB2312"/>
                <w:szCs w:val="21"/>
              </w:rPr>
            </w:pPr>
            <w:r>
              <w:rPr>
                <w:rFonts w:hint="eastAsia" w:ascii="仿宋_GB2312" w:eastAsia="仿宋_GB2312"/>
                <w:szCs w:val="21"/>
              </w:rPr>
              <w:t>基地数量及项目数量产出</w:t>
            </w:r>
          </w:p>
        </w:tc>
        <w:tc>
          <w:tcPr>
            <w:tcW w:w="9548" w:type="dxa"/>
          </w:tcPr>
          <w:p>
            <w:pPr>
              <w:widowControl/>
              <w:spacing w:line="340" w:lineRule="exact"/>
              <w:jc w:val="left"/>
              <w:rPr>
                <w:rFonts w:ascii="仿宋_GB2312" w:eastAsia="仿宋_GB2312"/>
                <w:b/>
                <w:bCs/>
                <w:szCs w:val="21"/>
              </w:rPr>
            </w:pPr>
            <w:r>
              <w:rPr>
                <w:rFonts w:hint="eastAsia" w:ascii="仿宋_GB2312" w:eastAsia="仿宋_GB2312"/>
                <w:szCs w:val="21"/>
              </w:rPr>
              <w:t>重点观测内容：美育综合研究基地；美育学术创新与应用研究成果的产出数量及影响；省社科研究项目数量、省中青年教师教育项目数量。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restart"/>
          </w:tcPr>
          <w:p>
            <w:pPr>
              <w:spacing w:line="340" w:lineRule="exact"/>
              <w:rPr>
                <w:rFonts w:ascii="仿宋_GB2312" w:eastAsia="仿宋_GB2312"/>
                <w:szCs w:val="21"/>
              </w:rPr>
            </w:pPr>
            <w:r>
              <w:rPr>
                <w:rFonts w:hint="eastAsia" w:ascii="仿宋_GB2312" w:eastAsia="仿宋_GB2312"/>
                <w:szCs w:val="21"/>
              </w:rPr>
              <w:t>5美育特色</w:t>
            </w:r>
          </w:p>
          <w:p>
            <w:pPr>
              <w:spacing w:line="340" w:lineRule="exact"/>
              <w:rPr>
                <w:rFonts w:ascii="仿宋_GB2312" w:eastAsia="仿宋_GB2312"/>
                <w:szCs w:val="21"/>
              </w:rPr>
            </w:pPr>
            <w:r>
              <w:rPr>
                <w:rFonts w:hint="eastAsia" w:ascii="仿宋_GB2312" w:eastAsia="仿宋_GB2312"/>
                <w:szCs w:val="21"/>
              </w:rPr>
              <w:t>一校一品或一校多品</w:t>
            </w:r>
          </w:p>
        </w:tc>
        <w:tc>
          <w:tcPr>
            <w:tcW w:w="1258" w:type="dxa"/>
          </w:tcPr>
          <w:p>
            <w:pPr>
              <w:spacing w:line="340" w:lineRule="exact"/>
              <w:rPr>
                <w:rFonts w:ascii="仿宋_GB2312" w:eastAsia="仿宋_GB2312"/>
                <w:szCs w:val="21"/>
              </w:rPr>
            </w:pPr>
            <w:r>
              <w:rPr>
                <w:rFonts w:hint="eastAsia" w:ascii="仿宋_GB2312" w:eastAsia="仿宋_GB2312"/>
                <w:szCs w:val="21"/>
              </w:rPr>
              <w:t>特色课程</w:t>
            </w:r>
          </w:p>
        </w:tc>
        <w:tc>
          <w:tcPr>
            <w:tcW w:w="2299" w:type="dxa"/>
          </w:tcPr>
          <w:p>
            <w:pPr>
              <w:spacing w:line="340" w:lineRule="exact"/>
              <w:rPr>
                <w:rFonts w:ascii="仿宋_GB2312" w:eastAsia="仿宋_GB2312"/>
                <w:szCs w:val="21"/>
              </w:rPr>
            </w:pPr>
          </w:p>
        </w:tc>
        <w:tc>
          <w:tcPr>
            <w:tcW w:w="9548" w:type="dxa"/>
          </w:tcPr>
          <w:p>
            <w:pPr>
              <w:spacing w:line="340" w:lineRule="exact"/>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tcPr>
          <w:p>
            <w:pPr>
              <w:spacing w:line="340" w:lineRule="exact"/>
              <w:rPr>
                <w:rFonts w:ascii="仿宋_GB2312" w:eastAsia="仿宋_GB2312"/>
                <w:szCs w:val="21"/>
              </w:rPr>
            </w:pPr>
            <w:r>
              <w:rPr>
                <w:rFonts w:hint="eastAsia" w:ascii="仿宋_GB2312" w:eastAsia="仿宋_GB2312"/>
                <w:szCs w:val="21"/>
              </w:rPr>
              <w:t>特色社团</w:t>
            </w:r>
          </w:p>
        </w:tc>
        <w:tc>
          <w:tcPr>
            <w:tcW w:w="2299" w:type="dxa"/>
          </w:tcPr>
          <w:p>
            <w:pPr>
              <w:spacing w:line="340" w:lineRule="exact"/>
              <w:rPr>
                <w:rFonts w:ascii="仿宋_GB2312" w:eastAsia="仿宋_GB2312"/>
                <w:szCs w:val="21"/>
              </w:rPr>
            </w:pPr>
          </w:p>
        </w:tc>
        <w:tc>
          <w:tcPr>
            <w:tcW w:w="9548" w:type="dxa"/>
          </w:tcPr>
          <w:p>
            <w:pPr>
              <w:spacing w:line="340" w:lineRule="exact"/>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tcPr>
          <w:p>
            <w:pPr>
              <w:spacing w:line="340" w:lineRule="exact"/>
              <w:rPr>
                <w:rFonts w:ascii="仿宋_GB2312" w:eastAsia="仿宋_GB2312"/>
                <w:szCs w:val="21"/>
              </w:rPr>
            </w:pPr>
            <w:r>
              <w:rPr>
                <w:rFonts w:hint="eastAsia" w:ascii="仿宋_GB2312" w:eastAsia="仿宋_GB2312"/>
                <w:szCs w:val="21"/>
              </w:rPr>
              <w:t>特色奖励</w:t>
            </w:r>
          </w:p>
        </w:tc>
        <w:tc>
          <w:tcPr>
            <w:tcW w:w="2299" w:type="dxa"/>
          </w:tcPr>
          <w:p>
            <w:pPr>
              <w:spacing w:line="340" w:lineRule="exact"/>
              <w:rPr>
                <w:rFonts w:ascii="仿宋_GB2312" w:eastAsia="仿宋_GB2312"/>
                <w:szCs w:val="21"/>
              </w:rPr>
            </w:pPr>
          </w:p>
        </w:tc>
        <w:tc>
          <w:tcPr>
            <w:tcW w:w="9548" w:type="dxa"/>
          </w:tcPr>
          <w:p>
            <w:pPr>
              <w:spacing w:line="340" w:lineRule="exact"/>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tcPr>
          <w:p>
            <w:pPr>
              <w:spacing w:line="340" w:lineRule="exact"/>
              <w:rPr>
                <w:rFonts w:ascii="仿宋_GB2312" w:eastAsia="仿宋_GB2312"/>
                <w:szCs w:val="21"/>
              </w:rPr>
            </w:pPr>
            <w:r>
              <w:rPr>
                <w:rFonts w:hint="eastAsia" w:ascii="仿宋_GB2312" w:eastAsia="仿宋_GB2312"/>
                <w:szCs w:val="21"/>
              </w:rPr>
              <w:t>特色活动</w:t>
            </w:r>
          </w:p>
        </w:tc>
        <w:tc>
          <w:tcPr>
            <w:tcW w:w="2299" w:type="dxa"/>
          </w:tcPr>
          <w:p>
            <w:pPr>
              <w:spacing w:line="340" w:lineRule="exact"/>
              <w:rPr>
                <w:rFonts w:ascii="仿宋_GB2312" w:eastAsia="仿宋_GB2312"/>
                <w:szCs w:val="21"/>
              </w:rPr>
            </w:pPr>
          </w:p>
        </w:tc>
        <w:tc>
          <w:tcPr>
            <w:tcW w:w="9548" w:type="dxa"/>
          </w:tcPr>
          <w:p>
            <w:pPr>
              <w:spacing w:line="340" w:lineRule="exact"/>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27" w:type="dxa"/>
            <w:vMerge w:val="continue"/>
          </w:tcPr>
          <w:p>
            <w:pPr>
              <w:spacing w:line="340" w:lineRule="exact"/>
              <w:rPr>
                <w:rFonts w:ascii="仿宋_GB2312" w:eastAsia="仿宋_GB2312"/>
                <w:szCs w:val="21"/>
              </w:rPr>
            </w:pPr>
          </w:p>
        </w:tc>
        <w:tc>
          <w:tcPr>
            <w:tcW w:w="1258" w:type="dxa"/>
          </w:tcPr>
          <w:p>
            <w:pPr>
              <w:spacing w:line="340" w:lineRule="exact"/>
              <w:rPr>
                <w:rFonts w:ascii="仿宋_GB2312" w:eastAsia="仿宋_GB2312"/>
                <w:szCs w:val="21"/>
              </w:rPr>
            </w:pPr>
            <w:r>
              <w:rPr>
                <w:rFonts w:hint="eastAsia" w:ascii="仿宋_GB2312" w:eastAsia="仿宋_GB2312"/>
                <w:szCs w:val="21"/>
              </w:rPr>
              <w:t>特色举措</w:t>
            </w:r>
          </w:p>
        </w:tc>
        <w:tc>
          <w:tcPr>
            <w:tcW w:w="2299" w:type="dxa"/>
          </w:tcPr>
          <w:p>
            <w:pPr>
              <w:spacing w:line="340" w:lineRule="exact"/>
              <w:rPr>
                <w:rFonts w:ascii="仿宋_GB2312" w:eastAsia="仿宋_GB2312"/>
                <w:szCs w:val="21"/>
              </w:rPr>
            </w:pPr>
          </w:p>
        </w:tc>
        <w:tc>
          <w:tcPr>
            <w:tcW w:w="9548" w:type="dxa"/>
          </w:tcPr>
          <w:p>
            <w:pPr>
              <w:spacing w:line="340" w:lineRule="exact"/>
              <w:rPr>
                <w:rFonts w:ascii="仿宋_GB2312" w:eastAsia="仿宋_GB2312"/>
                <w:szCs w:val="21"/>
              </w:rPr>
            </w:pPr>
          </w:p>
        </w:tc>
      </w:tr>
    </w:tbl>
    <w:p>
      <w:pPr>
        <w:ind w:firstLine="420" w:firstLineChars="200"/>
      </w:pPr>
      <w:r>
        <w:rPr>
          <w:rFonts w:hint="eastAsia"/>
        </w:rPr>
        <w:t>注：1.本次统计时间点为：201</w:t>
      </w:r>
      <w:r>
        <w:rPr>
          <w:rFonts w:hint="eastAsia"/>
          <w:lang w:val="en-US" w:eastAsia="zh-CN"/>
        </w:rPr>
        <w:t>7</w:t>
      </w:r>
      <w:r>
        <w:rPr>
          <w:rFonts w:hint="eastAsia"/>
        </w:rPr>
        <w:t>年12月至201</w:t>
      </w:r>
      <w:r>
        <w:rPr>
          <w:rFonts w:hint="eastAsia"/>
          <w:lang w:val="en-US" w:eastAsia="zh-CN"/>
        </w:rPr>
        <w:t>8</w:t>
      </w:r>
      <w:bookmarkStart w:id="1" w:name="_GoBack"/>
      <w:bookmarkEnd w:id="1"/>
      <w:r>
        <w:rPr>
          <w:rFonts w:hint="eastAsia"/>
        </w:rPr>
        <w:t>年12月</w:t>
      </w:r>
    </w:p>
    <w:p>
      <w:pPr>
        <w:ind w:firstLine="840" w:firstLineChars="400"/>
      </w:pPr>
      <w:r>
        <w:rPr>
          <w:rFonts w:hint="eastAsia"/>
        </w:rPr>
        <w:t>2.为便于统计定量指标，另行设计数据采集表（详见附件3）</w:t>
      </w:r>
    </w:p>
    <w:p>
      <w:pPr>
        <w:ind w:firstLine="823" w:firstLineChars="392"/>
      </w:pPr>
      <w:r>
        <w:rPr>
          <w:rFonts w:hint="eastAsia"/>
        </w:rPr>
        <w:t>3.本次调查指标体系为试行，将根据今年实施情况进行完善。</w:t>
      </w:r>
    </w:p>
    <w:p>
      <w:pPr>
        <w:widowControl/>
        <w:jc w:val="left"/>
      </w:pPr>
    </w:p>
    <w:p>
      <w:pPr>
        <w:widowControl/>
        <w:jc w:val="left"/>
      </w:pPr>
    </w:p>
    <w:p>
      <w:pPr>
        <w:widowControl/>
        <w:jc w:val="left"/>
      </w:pPr>
    </w:p>
    <w:p>
      <w:pPr>
        <w:widowControl/>
        <w:jc w:val="left"/>
      </w:pPr>
    </w:p>
    <w:p>
      <w:pPr>
        <w:jc w:val="left"/>
        <w:rPr>
          <w:rFonts w:asciiTheme="minorHAnsi" w:hAnsiTheme="minorHAnsi" w:eastAsiaTheme="minorEastAsia" w:cstheme="minorBidi"/>
          <w:kern w:val="2"/>
          <w:sz w:val="21"/>
          <w:szCs w:val="22"/>
          <w:lang w:val="en-US" w:eastAsia="zh-CN" w:bidi="ar-SA"/>
        </w:rPr>
      </w:pPr>
    </w:p>
    <w:sectPr>
      <w:pgSz w:w="16838" w:h="11906" w:orient="landscape"/>
      <w:pgMar w:top="1587" w:right="1928" w:bottom="1474" w:left="1701" w:header="964" w:footer="1417" w:gutter="0"/>
      <w:paperSrc/>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ookman Old Style">
    <w:altName w:val="Segoe Print"/>
    <w:panose1 w:val="020506040505050202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627376"/>
    </w:sdtPr>
    <w:sdtContent>
      <w:p>
        <w:pPr>
          <w:pStyle w:val="8"/>
          <w:jc w:val="center"/>
        </w:pPr>
        <w:r>
          <w:fldChar w:fldCharType="begin"/>
        </w:r>
        <w:r>
          <w:instrText xml:space="preserve"> PAGE   \* MERGEFORMAT </w:instrText>
        </w:r>
        <w:r>
          <w:fldChar w:fldCharType="separate"/>
        </w:r>
        <w:r>
          <w:rPr>
            <w:lang w:val="zh-CN"/>
          </w:rPr>
          <w:t>-</w:t>
        </w:r>
        <w:r>
          <w:t xml:space="preserve"> 11 -</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spacing w:line="240" w:lineRule="exact"/>
        <w:ind w:firstLine="360" w:firstLineChars="200"/>
        <w:jc w:val="left"/>
        <w:rPr>
          <w:sz w:val="24"/>
          <w:szCs w:val="24"/>
        </w:rPr>
      </w:pPr>
      <w:r>
        <w:rPr>
          <w:sz w:val="18"/>
          <w:szCs w:val="18"/>
        </w:rPr>
        <w:footnoteRef/>
      </w:r>
      <w:r>
        <w:rPr>
          <w:rFonts w:hint="eastAsia"/>
          <w:sz w:val="18"/>
          <w:szCs w:val="18"/>
        </w:rPr>
        <w:t>根据2002年教育部《学校艺术教育工作规程》（教育部令第13号）中第十三条要求，“学校应当有一位校级领导主管学校艺术教育工作，并明确校内艺术教育管理部门。”根据《教育部关于推进学校艺术教育发展的若干意见》（教体艺</w:t>
      </w:r>
      <w:r>
        <w:rPr>
          <w:rFonts w:hint="eastAsia"/>
        </w:rPr>
        <w:t>〔2014〕1号</w:t>
      </w:r>
      <w:r>
        <w:rPr>
          <w:rFonts w:hint="eastAsia"/>
          <w:sz w:val="18"/>
          <w:szCs w:val="18"/>
        </w:rPr>
        <w:t>）的文件第四大点第11条明确提出，“高等学校要有校级负责人分管艺术教育工作，并明确公共艺术教育教学机构”。</w:t>
      </w:r>
    </w:p>
  </w:footnote>
  <w:footnote w:id="1">
    <w:p>
      <w:pPr>
        <w:pStyle w:val="11"/>
        <w:ind w:firstLine="270" w:firstLineChars="150"/>
      </w:pPr>
      <w:r>
        <w:rPr>
          <w:rFonts w:hint="eastAsia"/>
        </w:rPr>
        <w:t>2根据《教育部关于推进学校艺术教育发展的若干意见》（教体艺〔2014〕）1号）的文件精神，要求从2014年开始，要求省级教育行政部门和部属高等学校要向教育部提交学校艺术教育发展年度报告，内容包括艺术课程建设、艺术教师配备、艺术教育管理、艺术教育经费投入和设施设备、课外艺术活动、校园文化艺术环境以及实行学校艺术教育工作自评公示制度等方面的情况。根据《福建省人民政府办公厅关于全面加强和改进学校美育工作的实施意见》（闽政办〔2016〕69号）文件第十七条要求，实施学校美育发展年度报告制度，学校每学年进行一次美育工作自评，并通过当地教育部门官方网站信息公开专栏向社会公示自评结果。各级教育部门每年要全面总结本地区各级各类学校美育工作，编制并公开发布年度报告。</w:t>
      </w:r>
    </w:p>
  </w:footnote>
  <w:footnote w:id="2">
    <w:p>
      <w:pPr>
        <w:widowControl/>
        <w:spacing w:line="240" w:lineRule="exact"/>
        <w:ind w:firstLine="360" w:firstLineChars="200"/>
        <w:jc w:val="left"/>
        <w:rPr>
          <w:sz w:val="18"/>
          <w:szCs w:val="18"/>
        </w:rPr>
      </w:pPr>
      <w:r>
        <w:rPr>
          <w:sz w:val="18"/>
          <w:szCs w:val="18"/>
        </w:rPr>
        <w:footnoteRef/>
      </w:r>
      <w:r>
        <w:rPr>
          <w:rFonts w:hint="eastAsia"/>
          <w:sz w:val="18"/>
          <w:szCs w:val="18"/>
        </w:rPr>
        <w:t>根据2002年教育部《学校艺术教育工作规程》（教育部令13号）要求，普通高等学校应当开设艺术类必修课或者选修课的要求，以及根据2006年教育部《全国普通高等学校公共艺术课程指导方案》要求，“普通高等学校应将公共艺术课程纳入各专业本科的教学计划之中，专科可参照执行。每个学生在校学习期间，至少要在艺术限定性选修课程中选修1门并且通过考核。对于实行学分制的高等学校，每个学生至少要通过艺术限定性选修课程的学习取得2个学分；修满规定学分的学生方可毕业。各高等学校可根据本校学科建设、所在地域等教育资源的优势以及教师的特长和研究成果，开设各种具有特色的艺术任意性选修课程或系列专题讲座，以满足学生的不同兴趣和需求。有条件的学校，应将任意性选修课程纳入学分管理。任意性选修课程包括：作品赏析类，如《交响音乐赏析》、《民间艺术赏析》等；艺术史论类，如《中国音乐简史》、《外国美术简史》等；艺术批评类，如《当代影视评论》、《现代艺术评论》等；艺术实践类，如《合唱艺术》、《DV制作》等。艺术限定性选修课程包括《艺术导论》、《音乐鉴赏》、《美术鉴赏》、《影视鉴赏》、《戏剧鉴赏》、《舞蹈鉴赏》、《书法鉴赏》、《戏曲鉴赏》。教育部部属学校、“211工程”学校，以及省属重点学校应开足开齐上述课程。其他学校应该努力创造条件，通过2到3年的努力尽快予以开设。”</w:t>
      </w:r>
    </w:p>
    <w:p>
      <w:pPr>
        <w:pStyle w:val="11"/>
        <w:rPr>
          <w:sz w:val="21"/>
          <w:szCs w:val="21"/>
        </w:rPr>
      </w:pPr>
    </w:p>
  </w:footnote>
  <w:footnote w:id="3">
    <w:p>
      <w:pPr>
        <w:widowControl/>
        <w:spacing w:line="240" w:lineRule="exact"/>
        <w:ind w:firstLine="360" w:firstLineChars="200"/>
        <w:jc w:val="left"/>
      </w:pPr>
      <w:r>
        <w:rPr>
          <w:sz w:val="18"/>
          <w:szCs w:val="18"/>
        </w:rPr>
        <w:footnoteRef/>
      </w:r>
      <w:r>
        <w:rPr>
          <w:rFonts w:hint="eastAsia"/>
          <w:sz w:val="18"/>
          <w:szCs w:val="18"/>
        </w:rPr>
        <w:t>根据2002年教育部《学校艺术教育工作规程》（教育部令第13号）要求，“职业学校和普通高等学校的艺术课程应当进行考试或者考查，考试或者考查方式由学校自行决定，实行学分制的学校应将成绩计入学分。”</w:t>
      </w:r>
    </w:p>
  </w:footnote>
  <w:footnote w:id="4">
    <w:p>
      <w:pPr>
        <w:widowControl/>
        <w:spacing w:line="240" w:lineRule="exact"/>
        <w:ind w:firstLine="360" w:firstLineChars="200"/>
        <w:jc w:val="left"/>
        <w:rPr>
          <w:sz w:val="18"/>
          <w:szCs w:val="18"/>
        </w:rPr>
      </w:pPr>
      <w:r>
        <w:rPr>
          <w:sz w:val="18"/>
          <w:szCs w:val="18"/>
        </w:rPr>
        <w:footnoteRef/>
      </w:r>
      <w:r>
        <w:rPr>
          <w:rFonts w:hint="eastAsia"/>
          <w:sz w:val="18"/>
          <w:szCs w:val="18"/>
        </w:rPr>
        <w:t>根据2002年教育部《学校艺术教育工作规程》（教育部令第13号）要求，“课外、校外艺术教育活动是学校艺术教育的重要组成部分。学校应当面向全体学生组织艺术社团或者艺术活动小组，每个学生至少要参加一项艺术活动。”</w:t>
      </w:r>
    </w:p>
    <w:p>
      <w:pPr>
        <w:pStyle w:val="1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65C77"/>
    <w:multiLevelType w:val="singleLevel"/>
    <w:tmpl w:val="5C065C7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0426"/>
    <w:rsid w:val="00006894"/>
    <w:rsid w:val="00022713"/>
    <w:rsid w:val="00023027"/>
    <w:rsid w:val="000624B1"/>
    <w:rsid w:val="000628DB"/>
    <w:rsid w:val="00073E1D"/>
    <w:rsid w:val="000815B0"/>
    <w:rsid w:val="000B450B"/>
    <w:rsid w:val="000D0F9A"/>
    <w:rsid w:val="001266B0"/>
    <w:rsid w:val="00136CA8"/>
    <w:rsid w:val="00153FDC"/>
    <w:rsid w:val="00160939"/>
    <w:rsid w:val="00184971"/>
    <w:rsid w:val="00196DB9"/>
    <w:rsid w:val="001F31A4"/>
    <w:rsid w:val="001F56BA"/>
    <w:rsid w:val="00292F9D"/>
    <w:rsid w:val="002C49ED"/>
    <w:rsid w:val="002E61E9"/>
    <w:rsid w:val="002F708E"/>
    <w:rsid w:val="003328C8"/>
    <w:rsid w:val="00340788"/>
    <w:rsid w:val="003839F3"/>
    <w:rsid w:val="003908F8"/>
    <w:rsid w:val="003F0608"/>
    <w:rsid w:val="003F7978"/>
    <w:rsid w:val="0040740C"/>
    <w:rsid w:val="00415830"/>
    <w:rsid w:val="00430C36"/>
    <w:rsid w:val="00455127"/>
    <w:rsid w:val="00462283"/>
    <w:rsid w:val="00500DD9"/>
    <w:rsid w:val="00510316"/>
    <w:rsid w:val="0055093D"/>
    <w:rsid w:val="0058076D"/>
    <w:rsid w:val="005832E7"/>
    <w:rsid w:val="005A0426"/>
    <w:rsid w:val="005C1350"/>
    <w:rsid w:val="005F3DF1"/>
    <w:rsid w:val="005F6C44"/>
    <w:rsid w:val="00617693"/>
    <w:rsid w:val="00624EA7"/>
    <w:rsid w:val="00632426"/>
    <w:rsid w:val="0063588C"/>
    <w:rsid w:val="00666FF3"/>
    <w:rsid w:val="00676881"/>
    <w:rsid w:val="006B2E31"/>
    <w:rsid w:val="006B460C"/>
    <w:rsid w:val="00773E1E"/>
    <w:rsid w:val="00794151"/>
    <w:rsid w:val="00794AF9"/>
    <w:rsid w:val="007A4C99"/>
    <w:rsid w:val="007C2AE3"/>
    <w:rsid w:val="00815E08"/>
    <w:rsid w:val="00836CC6"/>
    <w:rsid w:val="00855E35"/>
    <w:rsid w:val="00862D4D"/>
    <w:rsid w:val="00885E3F"/>
    <w:rsid w:val="008B19A4"/>
    <w:rsid w:val="008E459C"/>
    <w:rsid w:val="008F23BE"/>
    <w:rsid w:val="00932286"/>
    <w:rsid w:val="0097540D"/>
    <w:rsid w:val="009924E6"/>
    <w:rsid w:val="009A4DC1"/>
    <w:rsid w:val="009B3BA5"/>
    <w:rsid w:val="009B710A"/>
    <w:rsid w:val="00A16EC0"/>
    <w:rsid w:val="00A430C6"/>
    <w:rsid w:val="00A46FE2"/>
    <w:rsid w:val="00A93334"/>
    <w:rsid w:val="00A93614"/>
    <w:rsid w:val="00A95EFA"/>
    <w:rsid w:val="00AB3102"/>
    <w:rsid w:val="00AD44FC"/>
    <w:rsid w:val="00AD6E67"/>
    <w:rsid w:val="00B23DD8"/>
    <w:rsid w:val="00B25024"/>
    <w:rsid w:val="00B30C96"/>
    <w:rsid w:val="00B37982"/>
    <w:rsid w:val="00B73556"/>
    <w:rsid w:val="00BE7EC6"/>
    <w:rsid w:val="00C020E2"/>
    <w:rsid w:val="00C116F0"/>
    <w:rsid w:val="00C55AC5"/>
    <w:rsid w:val="00C63C29"/>
    <w:rsid w:val="00C84E0C"/>
    <w:rsid w:val="00C919EE"/>
    <w:rsid w:val="00CB038A"/>
    <w:rsid w:val="00CD26F3"/>
    <w:rsid w:val="00CF0DFA"/>
    <w:rsid w:val="00CF5E80"/>
    <w:rsid w:val="00D618DE"/>
    <w:rsid w:val="00D71134"/>
    <w:rsid w:val="00DB16A4"/>
    <w:rsid w:val="00DB4EFC"/>
    <w:rsid w:val="00E04418"/>
    <w:rsid w:val="00E166F6"/>
    <w:rsid w:val="00E72CB2"/>
    <w:rsid w:val="00E739F4"/>
    <w:rsid w:val="00E9750C"/>
    <w:rsid w:val="00EB65C2"/>
    <w:rsid w:val="00EC4114"/>
    <w:rsid w:val="00EE2E29"/>
    <w:rsid w:val="00F2015C"/>
    <w:rsid w:val="00F23237"/>
    <w:rsid w:val="00F42199"/>
    <w:rsid w:val="00F70D68"/>
    <w:rsid w:val="00FC59BA"/>
    <w:rsid w:val="00FE37A6"/>
    <w:rsid w:val="00FF575C"/>
    <w:rsid w:val="00FF68A8"/>
    <w:rsid w:val="0D71746E"/>
    <w:rsid w:val="14154749"/>
    <w:rsid w:val="1DA77667"/>
    <w:rsid w:val="2BDF79C5"/>
    <w:rsid w:val="335F1C29"/>
    <w:rsid w:val="357F2663"/>
    <w:rsid w:val="4F160191"/>
    <w:rsid w:val="5BD10CC7"/>
    <w:rsid w:val="5D556873"/>
    <w:rsid w:val="64B3225F"/>
    <w:rsid w:val="6A4E05D1"/>
    <w:rsid w:val="6DA03194"/>
    <w:rsid w:val="75884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27"/>
    <w:unhideWhenUsed/>
    <w:qFormat/>
    <w:uiPriority w:val="99"/>
    <w:pPr>
      <w:ind w:left="100" w:leftChars="2500"/>
    </w:pPr>
  </w:style>
  <w:style w:type="paragraph" w:styleId="7">
    <w:name w:val="Balloon Text"/>
    <w:basedOn w:val="1"/>
    <w:link w:val="26"/>
    <w:unhideWhenUsed/>
    <w:qFormat/>
    <w:uiPriority w:val="99"/>
    <w:rPr>
      <w:sz w:val="18"/>
      <w:szCs w:val="18"/>
    </w:rPr>
  </w:style>
  <w:style w:type="paragraph" w:styleId="8">
    <w:name w:val="footer"/>
    <w:basedOn w:val="1"/>
    <w:link w:val="30"/>
    <w:unhideWhenUsed/>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footnote text"/>
    <w:basedOn w:val="1"/>
    <w:link w:val="23"/>
    <w:unhideWhenUsed/>
    <w:qFormat/>
    <w:uiPriority w:val="99"/>
    <w:pPr>
      <w:snapToGrid w:val="0"/>
      <w:jc w:val="left"/>
    </w:pPr>
    <w:rPr>
      <w:sz w:val="18"/>
      <w:szCs w:val="18"/>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rPr>
  </w:style>
  <w:style w:type="character" w:styleId="17">
    <w:name w:val="footnote reference"/>
    <w:basedOn w:val="14"/>
    <w:unhideWhenUsed/>
    <w:qFormat/>
    <w:uiPriority w:val="99"/>
    <w:rPr>
      <w:vertAlign w:val="superscript"/>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0">
    <w:name w:val="标题 1 Char"/>
    <w:basedOn w:val="14"/>
    <w:link w:val="2"/>
    <w:qFormat/>
    <w:uiPriority w:val="9"/>
    <w:rPr>
      <w:b/>
      <w:bCs/>
      <w:kern w:val="44"/>
      <w:sz w:val="44"/>
      <w:szCs w:val="44"/>
    </w:rPr>
  </w:style>
  <w:style w:type="character" w:customStyle="1" w:styleId="21">
    <w:name w:val="标题 2 Char"/>
    <w:basedOn w:val="14"/>
    <w:link w:val="3"/>
    <w:qFormat/>
    <w:uiPriority w:val="9"/>
    <w:rPr>
      <w:rFonts w:asciiTheme="majorHAnsi" w:hAnsiTheme="majorHAnsi" w:eastAsiaTheme="majorEastAsia" w:cstheme="majorBidi"/>
      <w:b/>
      <w:bCs/>
      <w:sz w:val="32"/>
      <w:szCs w:val="32"/>
    </w:rPr>
  </w:style>
  <w:style w:type="character" w:customStyle="1" w:styleId="22">
    <w:name w:val="标题 3 Char"/>
    <w:basedOn w:val="14"/>
    <w:link w:val="4"/>
    <w:qFormat/>
    <w:uiPriority w:val="9"/>
    <w:rPr>
      <w:b/>
      <w:bCs/>
      <w:sz w:val="32"/>
      <w:szCs w:val="32"/>
    </w:rPr>
  </w:style>
  <w:style w:type="character" w:customStyle="1" w:styleId="23">
    <w:name w:val="脚注文本 Char"/>
    <w:basedOn w:val="14"/>
    <w:link w:val="11"/>
    <w:semiHidden/>
    <w:qFormat/>
    <w:uiPriority w:val="99"/>
    <w:rPr>
      <w:sz w:val="18"/>
      <w:szCs w:val="18"/>
    </w:rPr>
  </w:style>
  <w:style w:type="paragraph" w:customStyle="1" w:styleId="24">
    <w:name w:val="List Paragraph"/>
    <w:basedOn w:val="1"/>
    <w:qFormat/>
    <w:uiPriority w:val="34"/>
    <w:pPr>
      <w:ind w:firstLine="420" w:firstLineChars="200"/>
    </w:p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6">
    <w:name w:val="批注框文本 Char"/>
    <w:basedOn w:val="14"/>
    <w:link w:val="7"/>
    <w:semiHidden/>
    <w:qFormat/>
    <w:uiPriority w:val="99"/>
    <w:rPr>
      <w:sz w:val="18"/>
      <w:szCs w:val="18"/>
    </w:rPr>
  </w:style>
  <w:style w:type="character" w:customStyle="1" w:styleId="27">
    <w:name w:val="日期 Char"/>
    <w:basedOn w:val="14"/>
    <w:link w:val="6"/>
    <w:semiHidden/>
    <w:qFormat/>
    <w:uiPriority w:val="99"/>
  </w:style>
  <w:style w:type="character" w:customStyle="1" w:styleId="28">
    <w:name w:val="apple-converted-space"/>
    <w:basedOn w:val="14"/>
    <w:qFormat/>
    <w:uiPriority w:val="0"/>
  </w:style>
  <w:style w:type="character" w:customStyle="1" w:styleId="29">
    <w:name w:val="页眉 Char"/>
    <w:basedOn w:val="14"/>
    <w:link w:val="9"/>
    <w:semiHidden/>
    <w:qFormat/>
    <w:uiPriority w:val="99"/>
    <w:rPr>
      <w:sz w:val="18"/>
      <w:szCs w:val="18"/>
    </w:rPr>
  </w:style>
  <w:style w:type="character" w:customStyle="1" w:styleId="30">
    <w:name w:val="页脚 Char"/>
    <w:basedOn w:val="14"/>
    <w:link w:val="8"/>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60964-3D8B-4AE4-9670-F652847B493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756</Words>
  <Characters>4315</Characters>
  <Lines>35</Lines>
  <Paragraphs>10</Paragraphs>
  <TotalTime>23</TotalTime>
  <ScaleCrop>false</ScaleCrop>
  <LinksUpToDate>false</LinksUpToDate>
  <CharactersWithSpaces>5061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2017-11-30T04:51:00Z</dcterms:created>
  <dc:creator>黄小芳</dc:creator>
  <cp:lastModifiedBy>user</cp:lastModifiedBy>
  <cp:lastPrinted>2017-12-05T09:56:00Z</cp:lastPrinted>
  <dcterms:modified xsi:type="dcterms:W3CDTF">2018-12-05T02:48:31Z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